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A53" w:rsidRPr="002C6F54" w:rsidRDefault="006E7A53" w:rsidP="006E7A53">
      <w:pPr>
        <w:pStyle w:val="ConsPlusNormal"/>
        <w:jc w:val="center"/>
        <w:outlineLvl w:val="1"/>
        <w:rPr>
          <w:rFonts w:ascii="Times New Roman" w:hAnsi="Times New Roman" w:cs="Times New Roman"/>
          <w:sz w:val="28"/>
          <w:szCs w:val="28"/>
        </w:rPr>
      </w:pPr>
      <w:r w:rsidRPr="002C6F54">
        <w:rPr>
          <w:rFonts w:ascii="Times New Roman" w:hAnsi="Times New Roman" w:cs="Times New Roman"/>
          <w:sz w:val="28"/>
          <w:szCs w:val="28"/>
        </w:rPr>
        <w:t>Указания</w:t>
      </w:r>
    </w:p>
    <w:p w:rsidR="006E7A53" w:rsidRPr="002C6F54" w:rsidRDefault="006E7A53" w:rsidP="006E7A53">
      <w:pPr>
        <w:pStyle w:val="ConsPlusNormal"/>
        <w:jc w:val="center"/>
        <w:rPr>
          <w:rFonts w:ascii="Times New Roman" w:hAnsi="Times New Roman" w:cs="Times New Roman"/>
          <w:sz w:val="28"/>
          <w:szCs w:val="28"/>
        </w:rPr>
      </w:pPr>
      <w:r w:rsidRPr="002C6F54">
        <w:rPr>
          <w:rFonts w:ascii="Times New Roman" w:hAnsi="Times New Roman" w:cs="Times New Roman"/>
          <w:sz w:val="28"/>
          <w:szCs w:val="28"/>
        </w:rPr>
        <w:t>по заполнению формы федерального статистического наблюдения</w:t>
      </w:r>
    </w:p>
    <w:p w:rsidR="006E7A53" w:rsidRPr="002C6F54" w:rsidRDefault="006E7A53" w:rsidP="006E7A53">
      <w:pPr>
        <w:pStyle w:val="ConsPlusNormal"/>
        <w:ind w:firstLine="540"/>
        <w:jc w:val="both"/>
        <w:rPr>
          <w:rFonts w:ascii="Times New Roman" w:hAnsi="Times New Roman" w:cs="Times New Roman"/>
          <w:sz w:val="28"/>
          <w:szCs w:val="28"/>
        </w:rPr>
      </w:pPr>
      <w:r w:rsidRPr="002C6F54">
        <w:rPr>
          <w:rFonts w:ascii="Times New Roman" w:hAnsi="Times New Roman" w:cs="Times New Roman"/>
          <w:sz w:val="28"/>
          <w:szCs w:val="28"/>
        </w:rPr>
        <w:t xml:space="preserve">1. Информацию по </w:t>
      </w:r>
      <w:hyperlink w:anchor="Par2073" w:tooltip="СВЕДЕНИЯ О СРОКАХ СЛУЖБЫ ОБЪЕКТОВ ОСНОВНЫХ ФОНДОВ" w:history="1">
        <w:r w:rsidRPr="002C6F54">
          <w:rPr>
            <w:rFonts w:ascii="Times New Roman" w:hAnsi="Times New Roman" w:cs="Times New Roman"/>
            <w:color w:val="0000FF"/>
            <w:sz w:val="28"/>
            <w:szCs w:val="28"/>
          </w:rPr>
          <w:t>форме N 11-ФСС</w:t>
        </w:r>
      </w:hyperlink>
      <w:r w:rsidRPr="002C6F54">
        <w:rPr>
          <w:rFonts w:ascii="Times New Roman" w:hAnsi="Times New Roman" w:cs="Times New Roman"/>
          <w:sz w:val="28"/>
          <w:szCs w:val="28"/>
        </w:rPr>
        <w:t xml:space="preserve"> "Сведения о сроках службы объектов основных фондов" (далее - форма) предоставляют юридические лица (кроме малых, в том числе микропредприятий) всех видов экономической деятельности, фактически осуществившие за последние 3 года или планирующие ликвидацию объектов основных фондов, 25 июня года, следующего за отчетным, территориальному органу Федеральной службы государственной статистики в субъекте Российской Федерации по установленному им адресу (по перечню, установленному территориальными органами Росстата). Целью обследования является получение информации о фактических сроках службы основных фондов, а также информации об их стоимости по данным первичного учета (унифицированной </w:t>
      </w:r>
      <w:hyperlink r:id="rId6" w:tooltip="Постановление Госкомстата РФ от 21.01.2003 N 7 &quot;Об утверждении унифицированных форм первичной учетной документации по учету основных средств&quot;{КонсультантПлюс}" w:history="1">
        <w:r w:rsidRPr="002C6F54">
          <w:rPr>
            <w:rFonts w:ascii="Times New Roman" w:hAnsi="Times New Roman" w:cs="Times New Roman"/>
            <w:color w:val="0000FF"/>
            <w:sz w:val="28"/>
            <w:szCs w:val="28"/>
          </w:rPr>
          <w:t>форме N ОС-6</w:t>
        </w:r>
      </w:hyperlink>
      <w:r w:rsidRPr="002C6F54">
        <w:rPr>
          <w:rFonts w:ascii="Times New Roman" w:hAnsi="Times New Roman" w:cs="Times New Roman"/>
          <w:sz w:val="28"/>
          <w:szCs w:val="28"/>
        </w:rPr>
        <w:t>).</w:t>
      </w:r>
    </w:p>
    <w:p w:rsidR="006E7A53" w:rsidRPr="002C6F54" w:rsidRDefault="006E7A53" w:rsidP="006E7A53">
      <w:pPr>
        <w:pStyle w:val="ConsPlusNormal"/>
        <w:ind w:firstLine="540"/>
        <w:jc w:val="both"/>
        <w:rPr>
          <w:rFonts w:ascii="Times New Roman" w:hAnsi="Times New Roman" w:cs="Times New Roman"/>
          <w:sz w:val="28"/>
          <w:szCs w:val="28"/>
        </w:rPr>
      </w:pPr>
      <w:hyperlink w:anchor="Par2073" w:tooltip="СВЕДЕНИЯ О СРОКАХ СЛУЖБЫ ОБЪЕКТОВ ОСНОВНЫХ ФОНДОВ" w:history="1">
        <w:r w:rsidRPr="002C6F54">
          <w:rPr>
            <w:rFonts w:ascii="Times New Roman" w:hAnsi="Times New Roman" w:cs="Times New Roman"/>
            <w:color w:val="0000FF"/>
            <w:sz w:val="28"/>
            <w:szCs w:val="28"/>
          </w:rPr>
          <w:t>Форма</w:t>
        </w:r>
      </w:hyperlink>
      <w:r w:rsidRPr="002C6F54">
        <w:rPr>
          <w:rFonts w:ascii="Times New Roman" w:hAnsi="Times New Roman" w:cs="Times New Roman"/>
          <w:sz w:val="28"/>
          <w:szCs w:val="28"/>
        </w:rPr>
        <w:t xml:space="preserve"> предоставляется в территориальные органы государственной статистики только при наличии наблюдаемого события. В случае отсутствия события отчет по </w:t>
      </w:r>
      <w:hyperlink w:anchor="Par2073" w:tooltip="СВЕДЕНИЯ О СРОКАХ СЛУЖБЫ ОБЪЕКТОВ ОСНОВНЫХ ФОНДОВ" w:history="1">
        <w:r w:rsidRPr="002C6F54">
          <w:rPr>
            <w:rFonts w:ascii="Times New Roman" w:hAnsi="Times New Roman" w:cs="Times New Roman"/>
            <w:color w:val="0000FF"/>
            <w:sz w:val="28"/>
            <w:szCs w:val="28"/>
          </w:rPr>
          <w:t>форме</w:t>
        </w:r>
      </w:hyperlink>
      <w:r w:rsidRPr="002C6F54">
        <w:rPr>
          <w:rFonts w:ascii="Times New Roman" w:hAnsi="Times New Roman" w:cs="Times New Roman"/>
          <w:sz w:val="28"/>
          <w:szCs w:val="28"/>
        </w:rPr>
        <w:t xml:space="preserve"> в территориальные органы статистики не предоставляется.</w:t>
      </w:r>
    </w:p>
    <w:p w:rsidR="006E7A53" w:rsidRPr="002C6F54" w:rsidRDefault="006E7A53" w:rsidP="006E7A53">
      <w:pPr>
        <w:pStyle w:val="ConsPlusNormal"/>
        <w:ind w:firstLine="540"/>
        <w:jc w:val="both"/>
        <w:rPr>
          <w:rFonts w:ascii="Times New Roman" w:hAnsi="Times New Roman" w:cs="Times New Roman"/>
          <w:sz w:val="28"/>
          <w:szCs w:val="28"/>
        </w:rPr>
      </w:pPr>
      <w:r w:rsidRPr="002C6F54">
        <w:rPr>
          <w:rFonts w:ascii="Times New Roman" w:hAnsi="Times New Roman" w:cs="Times New Roman"/>
          <w:sz w:val="28"/>
          <w:szCs w:val="28"/>
        </w:rPr>
        <w:t>Данные предоставляются в целом по юридическому лицу, с учетом данных по всем его обособленным подразделениям &lt;1&gt; и активам, находящимся в других субъектах Российской Федерации.</w:t>
      </w:r>
    </w:p>
    <w:p w:rsidR="006E7A53" w:rsidRPr="002C6F54" w:rsidRDefault="006E7A53" w:rsidP="006E7A53">
      <w:pPr>
        <w:pStyle w:val="ConsPlusNormal"/>
        <w:ind w:firstLine="540"/>
        <w:jc w:val="both"/>
        <w:rPr>
          <w:rFonts w:ascii="Times New Roman" w:hAnsi="Times New Roman" w:cs="Times New Roman"/>
          <w:sz w:val="28"/>
          <w:szCs w:val="28"/>
        </w:rPr>
      </w:pPr>
      <w:r w:rsidRPr="002C6F54">
        <w:rPr>
          <w:rFonts w:ascii="Times New Roman" w:hAnsi="Times New Roman" w:cs="Times New Roman"/>
          <w:sz w:val="28"/>
          <w:szCs w:val="28"/>
        </w:rPr>
        <w:t>--------------------------------</w:t>
      </w:r>
    </w:p>
    <w:p w:rsidR="006E7A53" w:rsidRPr="002C6F54" w:rsidRDefault="006E7A53" w:rsidP="006E7A53">
      <w:pPr>
        <w:pStyle w:val="ConsPlusNormal"/>
        <w:ind w:firstLine="540"/>
        <w:jc w:val="both"/>
        <w:rPr>
          <w:rFonts w:ascii="Times New Roman" w:hAnsi="Times New Roman" w:cs="Times New Roman"/>
          <w:sz w:val="28"/>
          <w:szCs w:val="28"/>
        </w:rPr>
      </w:pPr>
      <w:r w:rsidRPr="002C6F54">
        <w:rPr>
          <w:rFonts w:ascii="Times New Roman" w:hAnsi="Times New Roman" w:cs="Times New Roman"/>
          <w:sz w:val="28"/>
          <w:szCs w:val="28"/>
        </w:rPr>
        <w:t>&lt;1&gt; Примечание</w:t>
      </w:r>
    </w:p>
    <w:p w:rsidR="006E7A53" w:rsidRPr="002C6F54" w:rsidRDefault="006E7A53" w:rsidP="006E7A53">
      <w:pPr>
        <w:pStyle w:val="ConsPlusNormal"/>
        <w:ind w:firstLine="540"/>
        <w:jc w:val="both"/>
        <w:rPr>
          <w:rFonts w:ascii="Times New Roman" w:hAnsi="Times New Roman" w:cs="Times New Roman"/>
          <w:sz w:val="28"/>
          <w:szCs w:val="28"/>
        </w:rPr>
      </w:pPr>
      <w:r w:rsidRPr="002C6F54">
        <w:rPr>
          <w:rFonts w:ascii="Times New Roman" w:hAnsi="Times New Roman" w:cs="Times New Roman"/>
          <w:sz w:val="28"/>
          <w:szCs w:val="28"/>
        </w:rPr>
        <w:t>Под обособленным подразделением организации подразумевается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7" w:tooltip="&quot;Налоговый кодекс Российской Федерации (часть первая)&quot; от 31.07.1998 N 146-ФЗ (ред. от 27.12.2018){КонсультантПлюс}" w:history="1">
        <w:r w:rsidRPr="002C6F54">
          <w:rPr>
            <w:rFonts w:ascii="Times New Roman" w:hAnsi="Times New Roman" w:cs="Times New Roman"/>
            <w:color w:val="0000FF"/>
            <w:sz w:val="28"/>
            <w:szCs w:val="28"/>
          </w:rPr>
          <w:t>п. 2 ст. 11</w:t>
        </w:r>
      </w:hyperlink>
      <w:r w:rsidRPr="002C6F54">
        <w:rPr>
          <w:rFonts w:ascii="Times New Roman" w:hAnsi="Times New Roman" w:cs="Times New Roman"/>
          <w:sz w:val="28"/>
          <w:szCs w:val="28"/>
        </w:rPr>
        <w:t xml:space="preserve"> Налогового кодекса Российской Федерации).</w:t>
      </w:r>
    </w:p>
    <w:p w:rsidR="006E7A53" w:rsidRPr="002C6F54" w:rsidRDefault="006E7A53" w:rsidP="006E7A53">
      <w:pPr>
        <w:pStyle w:val="ConsPlusNormal"/>
        <w:jc w:val="both"/>
        <w:rPr>
          <w:rFonts w:ascii="Times New Roman" w:hAnsi="Times New Roman" w:cs="Times New Roman"/>
          <w:sz w:val="28"/>
          <w:szCs w:val="28"/>
        </w:rPr>
      </w:pPr>
    </w:p>
    <w:p w:rsidR="006E7A53" w:rsidRPr="002C6F54" w:rsidRDefault="006E7A53" w:rsidP="006E7A53">
      <w:pPr>
        <w:pStyle w:val="ConsPlusNormal"/>
        <w:ind w:firstLine="540"/>
        <w:jc w:val="both"/>
        <w:rPr>
          <w:rFonts w:ascii="Times New Roman" w:hAnsi="Times New Roman" w:cs="Times New Roman"/>
          <w:sz w:val="28"/>
          <w:szCs w:val="28"/>
        </w:rPr>
      </w:pPr>
      <w:hyperlink w:anchor="Par2073" w:tooltip="СВЕДЕНИЯ О СРОКАХ СЛУЖБЫ ОБЪЕКТОВ ОСНОВНЫХ ФОНДОВ" w:history="1">
        <w:r w:rsidRPr="002C6F54">
          <w:rPr>
            <w:rFonts w:ascii="Times New Roman" w:hAnsi="Times New Roman" w:cs="Times New Roman"/>
            <w:color w:val="0000FF"/>
            <w:sz w:val="28"/>
            <w:szCs w:val="28"/>
          </w:rPr>
          <w:t>Форму</w:t>
        </w:r>
      </w:hyperlink>
      <w:r w:rsidRPr="002C6F54">
        <w:rPr>
          <w:rFonts w:ascii="Times New Roman" w:hAnsi="Times New Roman" w:cs="Times New Roman"/>
          <w:sz w:val="28"/>
          <w:szCs w:val="28"/>
        </w:rPr>
        <w:t xml:space="preserve">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6E7A53" w:rsidRPr="002C6F54" w:rsidRDefault="006E7A53" w:rsidP="006E7A53">
      <w:pPr>
        <w:pStyle w:val="ConsPlusNormal"/>
        <w:ind w:firstLine="540"/>
        <w:jc w:val="both"/>
        <w:rPr>
          <w:rFonts w:ascii="Times New Roman" w:hAnsi="Times New Roman" w:cs="Times New Roman"/>
          <w:sz w:val="28"/>
          <w:szCs w:val="28"/>
        </w:rPr>
      </w:pPr>
      <w:r w:rsidRPr="002C6F54">
        <w:rPr>
          <w:rFonts w:ascii="Times New Roman" w:hAnsi="Times New Roman" w:cs="Times New Roman"/>
          <w:sz w:val="28"/>
          <w:szCs w:val="28"/>
        </w:rPr>
        <w:t xml:space="preserve">Временно не работающие организации, на которых в течение части отчетного периода имели место производство товаров и оказание услуг, </w:t>
      </w:r>
      <w:hyperlink w:anchor="Par2073" w:tooltip="СВЕДЕНИЯ О СРОКАХ СЛУЖБЫ ОБЪЕКТОВ ОСНОВНЫХ ФОНДОВ" w:history="1">
        <w:r w:rsidRPr="002C6F54">
          <w:rPr>
            <w:rFonts w:ascii="Times New Roman" w:hAnsi="Times New Roman" w:cs="Times New Roman"/>
            <w:color w:val="0000FF"/>
            <w:sz w:val="28"/>
            <w:szCs w:val="28"/>
          </w:rPr>
          <w:t>форму</w:t>
        </w:r>
      </w:hyperlink>
      <w:r w:rsidRPr="002C6F54">
        <w:rPr>
          <w:rFonts w:ascii="Times New Roman" w:hAnsi="Times New Roman" w:cs="Times New Roman"/>
          <w:sz w:val="28"/>
          <w:szCs w:val="28"/>
        </w:rPr>
        <w:t xml:space="preserve"> федерального статистического наблюдения предоставляют на общих основаниях с указанием, с какого времени они не работают.</w:t>
      </w:r>
    </w:p>
    <w:p w:rsidR="006E7A53" w:rsidRPr="002C6F54" w:rsidRDefault="006E7A53" w:rsidP="006E7A53">
      <w:pPr>
        <w:pStyle w:val="ConsPlusNormal"/>
        <w:ind w:firstLine="540"/>
        <w:jc w:val="both"/>
        <w:rPr>
          <w:rFonts w:ascii="Times New Roman" w:hAnsi="Times New Roman" w:cs="Times New Roman"/>
          <w:sz w:val="28"/>
          <w:szCs w:val="28"/>
        </w:rPr>
      </w:pPr>
      <w:r w:rsidRPr="002C6F54">
        <w:rPr>
          <w:rFonts w:ascii="Times New Roman" w:hAnsi="Times New Roman" w:cs="Times New Roman"/>
          <w:sz w:val="28"/>
          <w:szCs w:val="28"/>
        </w:rPr>
        <w:t xml:space="preserve">Организации-банкроты, на которых введено конкурсное производство, не освобождаются от предоставления сведений по </w:t>
      </w:r>
      <w:hyperlink w:anchor="Par2073" w:tooltip="СВЕДЕНИЯ О СРОКАХ СЛУЖБЫ ОБЪЕКТОВ ОСНОВНЫХ ФОНДОВ" w:history="1">
        <w:r w:rsidRPr="002C6F54">
          <w:rPr>
            <w:rFonts w:ascii="Times New Roman" w:hAnsi="Times New Roman" w:cs="Times New Roman"/>
            <w:color w:val="0000FF"/>
            <w:sz w:val="28"/>
            <w:szCs w:val="28"/>
          </w:rPr>
          <w:t>форме</w:t>
        </w:r>
      </w:hyperlink>
      <w:r w:rsidRPr="002C6F54">
        <w:rPr>
          <w:rFonts w:ascii="Times New Roman" w:hAnsi="Times New Roman" w:cs="Times New Roman"/>
          <w:sz w:val="28"/>
          <w:szCs w:val="28"/>
        </w:rPr>
        <w:t xml:space="preserve"> федерального статистического наблюдения. Только после вынесения определения арбитражного суда о завершении в отношении организации конкурсного производства и внесении в единый государственный реестр юридических лиц записи о его ликвидации (</w:t>
      </w:r>
      <w:hyperlink r:id="rId8" w:tooltip="Федеральный закон от 26.10.2002 N 127-ФЗ (ред. от 27.12.2018) &quot;О несостоятельности (банкротстве)&quot; (с изм. и доп., вступ. в силу с 01.01.2019){КонсультантПлюс}" w:history="1">
        <w:r w:rsidRPr="002C6F54">
          <w:rPr>
            <w:rFonts w:ascii="Times New Roman" w:hAnsi="Times New Roman" w:cs="Times New Roman"/>
            <w:color w:val="0000FF"/>
            <w:sz w:val="28"/>
            <w:szCs w:val="28"/>
          </w:rPr>
          <w:t>п. 3 ст. 149</w:t>
        </w:r>
      </w:hyperlink>
      <w:r w:rsidRPr="002C6F54">
        <w:rPr>
          <w:rFonts w:ascii="Times New Roman" w:hAnsi="Times New Roman" w:cs="Times New Roman"/>
          <w:sz w:val="28"/>
          <w:szCs w:val="28"/>
        </w:rPr>
        <w:t xml:space="preserve"> Федерального закона от 26.10.2002 N 127-</w:t>
      </w:r>
      <w:r w:rsidRPr="002C6F54">
        <w:rPr>
          <w:rFonts w:ascii="Times New Roman" w:hAnsi="Times New Roman" w:cs="Times New Roman"/>
          <w:sz w:val="28"/>
          <w:szCs w:val="28"/>
        </w:rPr>
        <w:lastRenderedPageBreak/>
        <w:t>ФЗ "О несостоятельности (банкротстве)") организация-должник считается ликвидированной и освобождается от предоставления сведений.</w:t>
      </w:r>
    </w:p>
    <w:p w:rsidR="006E7A53" w:rsidRPr="002C6F54" w:rsidRDefault="006E7A53" w:rsidP="006E7A53">
      <w:pPr>
        <w:pStyle w:val="ConsPlusNormal"/>
        <w:ind w:firstLine="540"/>
        <w:jc w:val="both"/>
        <w:rPr>
          <w:rFonts w:ascii="Times New Roman" w:hAnsi="Times New Roman" w:cs="Times New Roman"/>
          <w:sz w:val="28"/>
          <w:szCs w:val="28"/>
        </w:rPr>
      </w:pPr>
      <w:r w:rsidRPr="002C6F54">
        <w:rPr>
          <w:rFonts w:ascii="Times New Roman" w:hAnsi="Times New Roman" w:cs="Times New Roman"/>
          <w:sz w:val="28"/>
          <w:szCs w:val="28"/>
        </w:rPr>
        <w:t xml:space="preserve">2. В </w:t>
      </w:r>
      <w:hyperlink w:anchor="Par2091" w:tooltip="Наименование отчитывающейся организации ___________________________" w:history="1">
        <w:r w:rsidRPr="002C6F54">
          <w:rPr>
            <w:rFonts w:ascii="Times New Roman" w:hAnsi="Times New Roman" w:cs="Times New Roman"/>
            <w:color w:val="0000FF"/>
            <w:sz w:val="28"/>
            <w:szCs w:val="28"/>
          </w:rPr>
          <w:t>адресной части</w:t>
        </w:r>
      </w:hyperlink>
      <w:r w:rsidRPr="002C6F54">
        <w:rPr>
          <w:rFonts w:ascii="Times New Roman" w:hAnsi="Times New Roman" w:cs="Times New Roman"/>
          <w:sz w:val="28"/>
          <w:szCs w:val="28"/>
        </w:rP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6E7A53" w:rsidRPr="002C6F54" w:rsidRDefault="006E7A53" w:rsidP="006E7A53">
      <w:pPr>
        <w:pStyle w:val="ConsPlusNormal"/>
        <w:ind w:firstLine="540"/>
        <w:jc w:val="both"/>
        <w:rPr>
          <w:rFonts w:ascii="Times New Roman" w:hAnsi="Times New Roman" w:cs="Times New Roman"/>
          <w:sz w:val="28"/>
          <w:szCs w:val="28"/>
        </w:rPr>
      </w:pPr>
      <w:r w:rsidRPr="002C6F54">
        <w:rPr>
          <w:rFonts w:ascii="Times New Roman" w:hAnsi="Times New Roman" w:cs="Times New Roman"/>
          <w:sz w:val="28"/>
          <w:szCs w:val="28"/>
        </w:rPr>
        <w:t xml:space="preserve">По </w:t>
      </w:r>
      <w:hyperlink w:anchor="Par2092" w:tooltip="Почтовый адрес __________________________________________________" w:history="1">
        <w:r w:rsidRPr="002C6F54">
          <w:rPr>
            <w:rFonts w:ascii="Times New Roman" w:hAnsi="Times New Roman" w:cs="Times New Roman"/>
            <w:color w:val="0000FF"/>
            <w:sz w:val="28"/>
            <w:szCs w:val="28"/>
          </w:rPr>
          <w:t>строке</w:t>
        </w:r>
      </w:hyperlink>
      <w:r w:rsidRPr="002C6F54">
        <w:rPr>
          <w:rFonts w:ascii="Times New Roman" w:hAnsi="Times New Roman" w:cs="Times New Roman"/>
          <w:sz w:val="28"/>
          <w:szCs w:val="28"/>
        </w:rP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Для обособленных подразделений, не имеющих юридического адреса, указывается почтовый адрес с почтовым индексом.</w:t>
      </w:r>
    </w:p>
    <w:p w:rsidR="006E7A53" w:rsidRPr="002C6F54" w:rsidRDefault="006E7A53" w:rsidP="006E7A53">
      <w:pPr>
        <w:pStyle w:val="ConsPlusNormal"/>
        <w:ind w:firstLine="540"/>
        <w:jc w:val="both"/>
        <w:rPr>
          <w:rFonts w:ascii="Times New Roman" w:hAnsi="Times New Roman" w:cs="Times New Roman"/>
          <w:sz w:val="28"/>
          <w:szCs w:val="28"/>
        </w:rPr>
      </w:pPr>
      <w:r w:rsidRPr="002C6F54">
        <w:rPr>
          <w:rFonts w:ascii="Times New Roman" w:hAnsi="Times New Roman" w:cs="Times New Roman"/>
          <w:sz w:val="28"/>
          <w:szCs w:val="28"/>
        </w:rPr>
        <w:t xml:space="preserve">При заполнении </w:t>
      </w:r>
      <w:hyperlink w:anchor="Par2093" w:tooltip="Код формы по ОКУД" w:history="1">
        <w:r w:rsidRPr="002C6F54">
          <w:rPr>
            <w:rFonts w:ascii="Times New Roman" w:hAnsi="Times New Roman" w:cs="Times New Roman"/>
            <w:color w:val="0000FF"/>
            <w:sz w:val="28"/>
            <w:szCs w:val="28"/>
          </w:rPr>
          <w:t>кодовой зоны</w:t>
        </w:r>
      </w:hyperlink>
      <w:r w:rsidRPr="002C6F54">
        <w:rPr>
          <w:rFonts w:ascii="Times New Roman" w:hAnsi="Times New Roman" w:cs="Times New Roman"/>
          <w:sz w:val="28"/>
          <w:szCs w:val="28"/>
        </w:rPr>
        <w:t xml:space="preserve"> титульного листа, отчитывающиеся юридические лица проставляют код Общероссийского классификатора предприятий и организаций (ОКПО) на основании Уведомления о присвоении кода ОКПО, размещенного на Интернет-портале Росстата http://websbor.gks.ru/online/#!/gs/statistic-codes.</w:t>
      </w:r>
    </w:p>
    <w:p w:rsidR="006E7A53" w:rsidRPr="002C6F54" w:rsidRDefault="006E7A53" w:rsidP="006E7A53">
      <w:pPr>
        <w:pStyle w:val="ConsPlusNormal"/>
        <w:ind w:firstLine="540"/>
        <w:jc w:val="both"/>
        <w:rPr>
          <w:rFonts w:ascii="Times New Roman" w:hAnsi="Times New Roman" w:cs="Times New Roman"/>
          <w:sz w:val="28"/>
          <w:szCs w:val="28"/>
        </w:rPr>
      </w:pPr>
      <w:r w:rsidRPr="002C6F54">
        <w:rPr>
          <w:rFonts w:ascii="Times New Roman" w:hAnsi="Times New Roman" w:cs="Times New Roman"/>
          <w:sz w:val="28"/>
          <w:szCs w:val="28"/>
        </w:rPr>
        <w:t xml:space="preserve">3. При заполнении </w:t>
      </w:r>
      <w:hyperlink w:anchor="Par2073" w:tooltip="СВЕДЕНИЯ О СРОКАХ СЛУЖБЫ ОБЪЕКТОВ ОСНОВНЫХ ФОНДОВ" w:history="1">
        <w:r w:rsidRPr="002C6F54">
          <w:rPr>
            <w:rFonts w:ascii="Times New Roman" w:hAnsi="Times New Roman" w:cs="Times New Roman"/>
            <w:color w:val="0000FF"/>
            <w:sz w:val="28"/>
            <w:szCs w:val="28"/>
          </w:rPr>
          <w:t>формы</w:t>
        </w:r>
      </w:hyperlink>
      <w:r w:rsidRPr="002C6F54">
        <w:rPr>
          <w:rFonts w:ascii="Times New Roman" w:hAnsi="Times New Roman" w:cs="Times New Roman"/>
          <w:sz w:val="28"/>
          <w:szCs w:val="28"/>
        </w:rPr>
        <w:t xml:space="preserve"> необходимо руководствоваться актуальной версией Указаний по заполнению форм федерального статистического наблюдения N 11 "Сведения о наличии и движении основных фондов (средств) и других нефинансовых активов"; N 11 (краткая) "Сведения о наличии и движении основных фондов (средств) некоммерческих организаций", размещенными на официальном сайте Росстата в информационно-телекоммуникационной сети "Интернет" - www.gks.ru/Информация для респондентов/Формы федерального статистического наблюдения/Альбом форм федерального статистического наблюдения, сбор и обработка данных по которым осуществляется в системе Федеральной службы государственной статистики/Общеэкономические показатели деятельности организаций, а также данными Указаниями.</w:t>
      </w:r>
    </w:p>
    <w:p w:rsidR="006E7A53" w:rsidRPr="002C6F54" w:rsidRDefault="006E7A53" w:rsidP="006E7A53">
      <w:pPr>
        <w:pStyle w:val="ConsPlusNormal"/>
        <w:ind w:firstLine="540"/>
        <w:jc w:val="both"/>
        <w:rPr>
          <w:rFonts w:ascii="Times New Roman" w:hAnsi="Times New Roman" w:cs="Times New Roman"/>
          <w:sz w:val="28"/>
          <w:szCs w:val="28"/>
        </w:rPr>
      </w:pPr>
      <w:r w:rsidRPr="002C6F54">
        <w:rPr>
          <w:rFonts w:ascii="Times New Roman" w:hAnsi="Times New Roman" w:cs="Times New Roman"/>
          <w:sz w:val="28"/>
          <w:szCs w:val="28"/>
        </w:rPr>
        <w:t xml:space="preserve">4. В </w:t>
      </w:r>
      <w:hyperlink w:anchor="Par2073" w:tooltip="СВЕДЕНИЯ О СРОКАХ СЛУЖБЫ ОБЪЕКТОВ ОСНОВНЫХ ФОНДОВ" w:history="1">
        <w:r w:rsidRPr="002C6F54">
          <w:rPr>
            <w:rFonts w:ascii="Times New Roman" w:hAnsi="Times New Roman" w:cs="Times New Roman"/>
            <w:color w:val="0000FF"/>
            <w:sz w:val="28"/>
            <w:szCs w:val="28"/>
          </w:rPr>
          <w:t>форме</w:t>
        </w:r>
      </w:hyperlink>
      <w:r w:rsidRPr="002C6F54">
        <w:rPr>
          <w:rFonts w:ascii="Times New Roman" w:hAnsi="Times New Roman" w:cs="Times New Roman"/>
          <w:sz w:val="28"/>
          <w:szCs w:val="28"/>
        </w:rPr>
        <w:t xml:space="preserve"> учитываются сведения по нежилым зданиям, жилым зданиям, сооружениям, информационному, компьютерному и телекоммуникационному (ИКТ) оборудованию, прочим машинам и оборудованию, транспортным средствам, а также объектам интеллектуальной собственности - научным исследованиям и разработкам, разведке недр и оценке запасов полезных ископаемых, включая произведенные поисковые активы, программному обеспечению и базам данных. Учету в </w:t>
      </w:r>
      <w:hyperlink w:anchor="Par2073" w:tooltip="СВЕДЕНИЯ О СРОКАХ СЛУЖБЫ ОБЪЕКТОВ ОСНОВНЫХ ФОНДОВ" w:history="1">
        <w:r w:rsidRPr="002C6F54">
          <w:rPr>
            <w:rFonts w:ascii="Times New Roman" w:hAnsi="Times New Roman" w:cs="Times New Roman"/>
            <w:color w:val="0000FF"/>
            <w:sz w:val="28"/>
            <w:szCs w:val="28"/>
          </w:rPr>
          <w:t>форме</w:t>
        </w:r>
      </w:hyperlink>
      <w:r w:rsidRPr="002C6F54">
        <w:rPr>
          <w:rFonts w:ascii="Times New Roman" w:hAnsi="Times New Roman" w:cs="Times New Roman"/>
          <w:sz w:val="28"/>
          <w:szCs w:val="28"/>
        </w:rPr>
        <w:t xml:space="preserve"> подлежат объекты, фактически ликвидированные в течение 2016, 2017 и 2018 годов или реализованные в целях физической ликвидации путем разборки, утилизации и т.п., а также объекты, предназначенные к ликвидации, то есть еще физически не ликвидированные, но уже не используемые в хозяйственной деятельности организации.</w:t>
      </w:r>
    </w:p>
    <w:p w:rsidR="006E7A53" w:rsidRPr="002C6F54" w:rsidRDefault="006E7A53" w:rsidP="006E7A53">
      <w:pPr>
        <w:pStyle w:val="ConsPlusNormal"/>
        <w:ind w:firstLine="540"/>
        <w:jc w:val="both"/>
        <w:rPr>
          <w:rFonts w:ascii="Times New Roman" w:hAnsi="Times New Roman" w:cs="Times New Roman"/>
          <w:sz w:val="28"/>
          <w:szCs w:val="28"/>
        </w:rPr>
      </w:pPr>
      <w:r w:rsidRPr="002C6F54">
        <w:rPr>
          <w:rFonts w:ascii="Times New Roman" w:hAnsi="Times New Roman" w:cs="Times New Roman"/>
          <w:sz w:val="28"/>
          <w:szCs w:val="28"/>
        </w:rPr>
        <w:t xml:space="preserve">5. В </w:t>
      </w:r>
      <w:hyperlink w:anchor="Par2123" w:tooltip="1" w:history="1">
        <w:r w:rsidRPr="002C6F54">
          <w:rPr>
            <w:rFonts w:ascii="Times New Roman" w:hAnsi="Times New Roman" w:cs="Times New Roman"/>
            <w:color w:val="0000FF"/>
            <w:sz w:val="28"/>
            <w:szCs w:val="28"/>
          </w:rPr>
          <w:t>графе 1</w:t>
        </w:r>
      </w:hyperlink>
      <w:r w:rsidRPr="002C6F54">
        <w:rPr>
          <w:rFonts w:ascii="Times New Roman" w:hAnsi="Times New Roman" w:cs="Times New Roman"/>
          <w:sz w:val="28"/>
          <w:szCs w:val="28"/>
        </w:rPr>
        <w:t xml:space="preserve"> указывается наименование объекта, в соответствии с данными первичного учета.</w:t>
      </w:r>
    </w:p>
    <w:p w:rsidR="006E7A53" w:rsidRPr="002C6F54" w:rsidRDefault="006E7A53" w:rsidP="006E7A53">
      <w:pPr>
        <w:pStyle w:val="ConsPlusNormal"/>
        <w:ind w:firstLine="540"/>
        <w:jc w:val="both"/>
        <w:rPr>
          <w:rFonts w:ascii="Times New Roman" w:hAnsi="Times New Roman" w:cs="Times New Roman"/>
          <w:sz w:val="28"/>
          <w:szCs w:val="28"/>
        </w:rPr>
      </w:pPr>
      <w:r w:rsidRPr="002C6F54">
        <w:rPr>
          <w:rFonts w:ascii="Times New Roman" w:hAnsi="Times New Roman" w:cs="Times New Roman"/>
          <w:sz w:val="28"/>
          <w:szCs w:val="28"/>
        </w:rPr>
        <w:t xml:space="preserve">В случае, когда ликвидируются однотипные объекты, имеющие одинаковый код </w:t>
      </w:r>
      <w:hyperlink r:id="rId9" w:tooltip="&quot;ОК 013-2014 (СНС 2008). Общероссийский классификатор основных фондов&quot; (принят и введен в действие Приказом Росстандарта от 12.12.2014 N 2018-ст) (ред. от 08.05.2018){КонсультантПлюс}" w:history="1">
        <w:r w:rsidRPr="002C6F54">
          <w:rPr>
            <w:rFonts w:ascii="Times New Roman" w:hAnsi="Times New Roman" w:cs="Times New Roman"/>
            <w:color w:val="0000FF"/>
            <w:sz w:val="28"/>
            <w:szCs w:val="28"/>
          </w:rPr>
          <w:t>ОКОФ</w:t>
        </w:r>
      </w:hyperlink>
      <w:r w:rsidRPr="002C6F54">
        <w:rPr>
          <w:rFonts w:ascii="Times New Roman" w:hAnsi="Times New Roman" w:cs="Times New Roman"/>
          <w:sz w:val="28"/>
          <w:szCs w:val="28"/>
        </w:rPr>
        <w:t>, и введенные в эксплуатацию в одном году, то данные по таким объектам суммируются.</w:t>
      </w:r>
    </w:p>
    <w:p w:rsidR="006E7A53" w:rsidRPr="002C6F54" w:rsidRDefault="006E7A53" w:rsidP="006E7A53">
      <w:pPr>
        <w:pStyle w:val="ConsPlusNormal"/>
        <w:ind w:firstLine="540"/>
        <w:jc w:val="both"/>
        <w:rPr>
          <w:rFonts w:ascii="Times New Roman" w:hAnsi="Times New Roman" w:cs="Times New Roman"/>
          <w:sz w:val="28"/>
          <w:szCs w:val="28"/>
        </w:rPr>
      </w:pPr>
      <w:r w:rsidRPr="002C6F54">
        <w:rPr>
          <w:rFonts w:ascii="Times New Roman" w:hAnsi="Times New Roman" w:cs="Times New Roman"/>
          <w:sz w:val="28"/>
          <w:szCs w:val="28"/>
        </w:rPr>
        <w:lastRenderedPageBreak/>
        <w:t xml:space="preserve">В </w:t>
      </w:r>
      <w:hyperlink w:anchor="Par2124" w:tooltip="2" w:history="1">
        <w:r w:rsidRPr="002C6F54">
          <w:rPr>
            <w:rFonts w:ascii="Times New Roman" w:hAnsi="Times New Roman" w:cs="Times New Roman"/>
            <w:color w:val="0000FF"/>
            <w:sz w:val="28"/>
            <w:szCs w:val="28"/>
          </w:rPr>
          <w:t>графе 2</w:t>
        </w:r>
      </w:hyperlink>
      <w:r w:rsidRPr="002C6F54">
        <w:rPr>
          <w:rFonts w:ascii="Times New Roman" w:hAnsi="Times New Roman" w:cs="Times New Roman"/>
          <w:sz w:val="28"/>
          <w:szCs w:val="28"/>
        </w:rPr>
        <w:t xml:space="preserve"> указывается код (7 - 12 знаков, включая 3 знака, проставленных на бланке) по Общероссийскому </w:t>
      </w:r>
      <w:hyperlink r:id="rId10" w:tooltip="&quot;ОК 013-2014 (СНС 2008). Общероссийский классификатор основных фондов&quot; (принят и введен в действие Приказом Росстандарта от 12.12.2014 N 2018-ст) (ред. от 08.05.2018){КонсультантПлюс}" w:history="1">
        <w:r w:rsidRPr="002C6F54">
          <w:rPr>
            <w:rFonts w:ascii="Times New Roman" w:hAnsi="Times New Roman" w:cs="Times New Roman"/>
            <w:color w:val="0000FF"/>
            <w:sz w:val="28"/>
            <w:szCs w:val="28"/>
          </w:rPr>
          <w:t>классификатору</w:t>
        </w:r>
      </w:hyperlink>
      <w:r w:rsidRPr="002C6F54">
        <w:rPr>
          <w:rFonts w:ascii="Times New Roman" w:hAnsi="Times New Roman" w:cs="Times New Roman"/>
          <w:sz w:val="28"/>
          <w:szCs w:val="28"/>
        </w:rPr>
        <w:t xml:space="preserve"> основных фондов (ОКОФ), введенному в действие Приказом Росстандарта от 12.12.2014 N 2018-ст, в соответствии с принятой структурой кода (XXX.XX.XX.XX.XXX - см. </w:t>
      </w:r>
      <w:hyperlink r:id="rId11" w:tooltip="&quot;ОК 013-2014 (СНС 2008). Общероссийский классификатор основных фондов&quot; (принят и введен в действие Приказом Росстандарта от 12.12.2014 N 2018-ст) (ред. от 08.05.2018){КонсультантПлюс}" w:history="1">
        <w:r w:rsidRPr="002C6F54">
          <w:rPr>
            <w:rFonts w:ascii="Times New Roman" w:hAnsi="Times New Roman" w:cs="Times New Roman"/>
            <w:color w:val="0000FF"/>
            <w:sz w:val="28"/>
            <w:szCs w:val="28"/>
          </w:rPr>
          <w:t>введение</w:t>
        </w:r>
      </w:hyperlink>
      <w:r w:rsidRPr="002C6F54">
        <w:rPr>
          <w:rFonts w:ascii="Times New Roman" w:hAnsi="Times New Roman" w:cs="Times New Roman"/>
          <w:sz w:val="28"/>
          <w:szCs w:val="28"/>
        </w:rPr>
        <w:t xml:space="preserve"> к ОКОФ). Объект, закодированный группировочным кодом </w:t>
      </w:r>
      <w:hyperlink r:id="rId12" w:tooltip="&quot;ОК 013-2014 (СНС 2008). Общероссийский классификатор основных фондов&quot; (принят и введен в действие Приказом Росстандарта от 12.12.2014 N 2018-ст) (ред. от 08.05.2018){КонсультантПлюс}" w:history="1">
        <w:r w:rsidRPr="002C6F54">
          <w:rPr>
            <w:rFonts w:ascii="Times New Roman" w:hAnsi="Times New Roman" w:cs="Times New Roman"/>
            <w:color w:val="0000FF"/>
            <w:sz w:val="28"/>
            <w:szCs w:val="28"/>
          </w:rPr>
          <w:t>ОКОФ</w:t>
        </w:r>
      </w:hyperlink>
      <w:r w:rsidRPr="002C6F54">
        <w:rPr>
          <w:rFonts w:ascii="Times New Roman" w:hAnsi="Times New Roman" w:cs="Times New Roman"/>
          <w:sz w:val="28"/>
          <w:szCs w:val="28"/>
        </w:rPr>
        <w:t>, включающим менее 7 знаков, необходимо детализировать до 7 знаков и выше, вплоть до 12.</w:t>
      </w:r>
    </w:p>
    <w:p w:rsidR="006E7A53" w:rsidRPr="002C6F54" w:rsidRDefault="006E7A53" w:rsidP="006E7A53">
      <w:pPr>
        <w:pStyle w:val="ConsPlusNormal"/>
        <w:ind w:firstLine="540"/>
        <w:jc w:val="both"/>
        <w:rPr>
          <w:rFonts w:ascii="Times New Roman" w:hAnsi="Times New Roman" w:cs="Times New Roman"/>
          <w:sz w:val="28"/>
          <w:szCs w:val="28"/>
        </w:rPr>
      </w:pPr>
      <w:r w:rsidRPr="002C6F54">
        <w:rPr>
          <w:rFonts w:ascii="Times New Roman" w:hAnsi="Times New Roman" w:cs="Times New Roman"/>
          <w:sz w:val="28"/>
          <w:szCs w:val="28"/>
        </w:rPr>
        <w:t xml:space="preserve">Если названия каких-то объектов основных фондов отсутствуют в </w:t>
      </w:r>
      <w:hyperlink r:id="rId13" w:tooltip="&quot;ОК 013-2014 (СНС 2008). Общероссийский классификатор основных фондов&quot; (принят и введен в действие Приказом Росстандарта от 12.12.2014 N 2018-ст) (ред. от 08.05.2018){КонсультантПлюс}" w:history="1">
        <w:r w:rsidRPr="002C6F54">
          <w:rPr>
            <w:rFonts w:ascii="Times New Roman" w:hAnsi="Times New Roman" w:cs="Times New Roman"/>
            <w:color w:val="0000FF"/>
            <w:sz w:val="28"/>
            <w:szCs w:val="28"/>
          </w:rPr>
          <w:t>ОКОФ</w:t>
        </w:r>
      </w:hyperlink>
      <w:r w:rsidRPr="002C6F54">
        <w:rPr>
          <w:rFonts w:ascii="Times New Roman" w:hAnsi="Times New Roman" w:cs="Times New Roman"/>
          <w:sz w:val="28"/>
          <w:szCs w:val="28"/>
        </w:rPr>
        <w:t xml:space="preserve">, то эти объекты учитываются по кодам </w:t>
      </w:r>
      <w:hyperlink r:id="rId14" w:tooltip="&quot;ОК 013-2014 (СНС 2008). Общероссийский классификатор основных фондов&quot; (принят и введен в действие Приказом Росстандарта от 12.12.2014 N 2018-ст) (ред. от 08.05.2018){КонсультантПлюс}" w:history="1">
        <w:r w:rsidRPr="002C6F54">
          <w:rPr>
            <w:rFonts w:ascii="Times New Roman" w:hAnsi="Times New Roman" w:cs="Times New Roman"/>
            <w:color w:val="0000FF"/>
            <w:sz w:val="28"/>
            <w:szCs w:val="28"/>
          </w:rPr>
          <w:t>ОКОФ</w:t>
        </w:r>
      </w:hyperlink>
      <w:r w:rsidRPr="002C6F54">
        <w:rPr>
          <w:rFonts w:ascii="Times New Roman" w:hAnsi="Times New Roman" w:cs="Times New Roman"/>
          <w:sz w:val="28"/>
          <w:szCs w:val="28"/>
        </w:rPr>
        <w:t xml:space="preserve">, соответствующим максимально близким по назначению и характеристикам из имеющихся в </w:t>
      </w:r>
      <w:hyperlink r:id="rId15" w:tooltip="&quot;ОК 013-2014 (СНС 2008). Общероссийский классификатор основных фондов&quot; (принят и введен в действие Приказом Росстандарта от 12.12.2014 N 2018-ст) (ред. от 08.05.2018){КонсультантПлюс}" w:history="1">
        <w:r w:rsidRPr="002C6F54">
          <w:rPr>
            <w:rFonts w:ascii="Times New Roman" w:hAnsi="Times New Roman" w:cs="Times New Roman"/>
            <w:color w:val="0000FF"/>
            <w:sz w:val="28"/>
            <w:szCs w:val="28"/>
          </w:rPr>
          <w:t>ОКОФ</w:t>
        </w:r>
      </w:hyperlink>
      <w:r w:rsidRPr="002C6F54">
        <w:rPr>
          <w:rFonts w:ascii="Times New Roman" w:hAnsi="Times New Roman" w:cs="Times New Roman"/>
          <w:sz w:val="28"/>
          <w:szCs w:val="28"/>
        </w:rPr>
        <w:t xml:space="preserve"> объектов. Использование иных классификаций не допускается.</w:t>
      </w:r>
    </w:p>
    <w:p w:rsidR="006E7A53" w:rsidRPr="002C6F54" w:rsidRDefault="006E7A53" w:rsidP="006E7A53">
      <w:pPr>
        <w:pStyle w:val="ConsPlusNormal"/>
        <w:ind w:firstLine="540"/>
        <w:jc w:val="both"/>
        <w:rPr>
          <w:rFonts w:ascii="Times New Roman" w:hAnsi="Times New Roman" w:cs="Times New Roman"/>
          <w:sz w:val="28"/>
          <w:szCs w:val="28"/>
        </w:rPr>
      </w:pPr>
      <w:r w:rsidRPr="002C6F54">
        <w:rPr>
          <w:rFonts w:ascii="Times New Roman" w:hAnsi="Times New Roman" w:cs="Times New Roman"/>
          <w:sz w:val="28"/>
          <w:szCs w:val="28"/>
        </w:rPr>
        <w:t xml:space="preserve">В </w:t>
      </w:r>
      <w:hyperlink w:anchor="Par2125" w:tooltip="3" w:history="1">
        <w:r w:rsidRPr="002C6F54">
          <w:rPr>
            <w:rFonts w:ascii="Times New Roman" w:hAnsi="Times New Roman" w:cs="Times New Roman"/>
            <w:color w:val="0000FF"/>
            <w:sz w:val="28"/>
            <w:szCs w:val="28"/>
          </w:rPr>
          <w:t>графе 3</w:t>
        </w:r>
      </w:hyperlink>
      <w:r w:rsidRPr="002C6F54">
        <w:rPr>
          <w:rFonts w:ascii="Times New Roman" w:hAnsi="Times New Roman" w:cs="Times New Roman"/>
          <w:sz w:val="28"/>
          <w:szCs w:val="28"/>
        </w:rPr>
        <w:t xml:space="preserve"> указывается номер амортизационной группы (от 1 до 10 включительно), в соответствии с </w:t>
      </w:r>
      <w:hyperlink r:id="rId16" w:tooltip="Постановление Правительства РФ от 01.01.2002 N 1 (ред. от 28.04.2018) &quot;О Классификации основных средств, включаемых в амортизационные группы&quot;{КонсультантПлюс}" w:history="1">
        <w:r w:rsidRPr="002C6F54">
          <w:rPr>
            <w:rFonts w:ascii="Times New Roman" w:hAnsi="Times New Roman" w:cs="Times New Roman"/>
            <w:color w:val="0000FF"/>
            <w:sz w:val="28"/>
            <w:szCs w:val="28"/>
          </w:rPr>
          <w:t>Постановлением</w:t>
        </w:r>
      </w:hyperlink>
      <w:r w:rsidRPr="002C6F54">
        <w:rPr>
          <w:rFonts w:ascii="Times New Roman" w:hAnsi="Times New Roman" w:cs="Times New Roman"/>
          <w:sz w:val="28"/>
          <w:szCs w:val="28"/>
        </w:rPr>
        <w:t xml:space="preserve"> Правительства Российской Федерации от 01.01.2002 N 1 "О Классификации основных средств, включаемых в амортизационные группы", с последующими изменениями.</w:t>
      </w:r>
    </w:p>
    <w:p w:rsidR="006E7A53" w:rsidRPr="002C6F54" w:rsidRDefault="006E7A53" w:rsidP="006E7A53">
      <w:pPr>
        <w:pStyle w:val="ConsPlusNormal"/>
        <w:ind w:firstLine="540"/>
        <w:jc w:val="both"/>
        <w:rPr>
          <w:rFonts w:ascii="Times New Roman" w:hAnsi="Times New Roman" w:cs="Times New Roman"/>
          <w:sz w:val="28"/>
          <w:szCs w:val="28"/>
        </w:rPr>
      </w:pPr>
      <w:r w:rsidRPr="002C6F54">
        <w:rPr>
          <w:rFonts w:ascii="Times New Roman" w:hAnsi="Times New Roman" w:cs="Times New Roman"/>
          <w:sz w:val="28"/>
          <w:szCs w:val="28"/>
        </w:rPr>
        <w:t xml:space="preserve">В </w:t>
      </w:r>
      <w:hyperlink w:anchor="Par2126" w:tooltip="4" w:history="1">
        <w:r w:rsidRPr="002C6F54">
          <w:rPr>
            <w:rFonts w:ascii="Times New Roman" w:hAnsi="Times New Roman" w:cs="Times New Roman"/>
            <w:color w:val="0000FF"/>
            <w:sz w:val="28"/>
            <w:szCs w:val="28"/>
          </w:rPr>
          <w:t>графе 4</w:t>
        </w:r>
      </w:hyperlink>
      <w:r w:rsidRPr="002C6F54">
        <w:rPr>
          <w:rFonts w:ascii="Times New Roman" w:hAnsi="Times New Roman" w:cs="Times New Roman"/>
          <w:sz w:val="28"/>
          <w:szCs w:val="28"/>
        </w:rPr>
        <w:t xml:space="preserve"> отражается год первоначального ввода в эксплуатацию объекта основных средств на основании </w:t>
      </w:r>
      <w:hyperlink r:id="rId17" w:tooltip="Постановление Госкомстата РФ от 21.01.2003 N 7 &quot;Об утверждении унифицированных форм первичной учетной документации по учету основных средств&quot;{КонсультантПлюс}" w:history="1">
        <w:r w:rsidRPr="002C6F54">
          <w:rPr>
            <w:rFonts w:ascii="Times New Roman" w:hAnsi="Times New Roman" w:cs="Times New Roman"/>
            <w:color w:val="0000FF"/>
            <w:sz w:val="28"/>
            <w:szCs w:val="28"/>
          </w:rPr>
          <w:t>гр. 5 раздела 1</w:t>
        </w:r>
      </w:hyperlink>
      <w:r w:rsidRPr="002C6F54">
        <w:rPr>
          <w:rFonts w:ascii="Times New Roman" w:hAnsi="Times New Roman" w:cs="Times New Roman"/>
          <w:sz w:val="28"/>
          <w:szCs w:val="28"/>
        </w:rPr>
        <w:t xml:space="preserve"> инвентарной карточки учета объекта основных средств (ф. N ОС-6).</w:t>
      </w:r>
    </w:p>
    <w:p w:rsidR="006E7A53" w:rsidRPr="002C6F54" w:rsidRDefault="006E7A53" w:rsidP="006E7A53">
      <w:pPr>
        <w:pStyle w:val="ConsPlusNormal"/>
        <w:ind w:firstLine="540"/>
        <w:jc w:val="both"/>
        <w:rPr>
          <w:rFonts w:ascii="Times New Roman" w:hAnsi="Times New Roman" w:cs="Times New Roman"/>
          <w:sz w:val="28"/>
          <w:szCs w:val="28"/>
        </w:rPr>
      </w:pPr>
      <w:r w:rsidRPr="002C6F54">
        <w:rPr>
          <w:rFonts w:ascii="Times New Roman" w:hAnsi="Times New Roman" w:cs="Times New Roman"/>
          <w:sz w:val="28"/>
          <w:szCs w:val="28"/>
        </w:rPr>
        <w:t xml:space="preserve">В </w:t>
      </w:r>
      <w:hyperlink w:anchor="Par2127" w:tooltip="5" w:history="1">
        <w:r w:rsidRPr="002C6F54">
          <w:rPr>
            <w:rFonts w:ascii="Times New Roman" w:hAnsi="Times New Roman" w:cs="Times New Roman"/>
            <w:color w:val="0000FF"/>
            <w:sz w:val="28"/>
            <w:szCs w:val="28"/>
          </w:rPr>
          <w:t>графе 5</w:t>
        </w:r>
      </w:hyperlink>
      <w:r w:rsidRPr="002C6F54">
        <w:rPr>
          <w:rFonts w:ascii="Times New Roman" w:hAnsi="Times New Roman" w:cs="Times New Roman"/>
          <w:sz w:val="28"/>
          <w:szCs w:val="28"/>
        </w:rPr>
        <w:t xml:space="preserve"> отражается год начала эксплуатации в данной организации, то есть год принятия к бухгалтерскому учету данного объекта основных средств. Данные </w:t>
      </w:r>
      <w:hyperlink w:anchor="Par2127" w:tooltip="5" w:history="1">
        <w:r w:rsidRPr="002C6F54">
          <w:rPr>
            <w:rFonts w:ascii="Times New Roman" w:hAnsi="Times New Roman" w:cs="Times New Roman"/>
            <w:color w:val="0000FF"/>
            <w:sz w:val="28"/>
            <w:szCs w:val="28"/>
          </w:rPr>
          <w:t>графы 5</w:t>
        </w:r>
      </w:hyperlink>
      <w:r w:rsidRPr="002C6F54">
        <w:rPr>
          <w:rFonts w:ascii="Times New Roman" w:hAnsi="Times New Roman" w:cs="Times New Roman"/>
          <w:sz w:val="28"/>
          <w:szCs w:val="28"/>
        </w:rPr>
        <w:t xml:space="preserve"> отличны от данных </w:t>
      </w:r>
      <w:hyperlink w:anchor="Par2126" w:tooltip="4" w:history="1">
        <w:r w:rsidRPr="002C6F54">
          <w:rPr>
            <w:rFonts w:ascii="Times New Roman" w:hAnsi="Times New Roman" w:cs="Times New Roman"/>
            <w:color w:val="0000FF"/>
            <w:sz w:val="28"/>
            <w:szCs w:val="28"/>
          </w:rPr>
          <w:t>графы 4</w:t>
        </w:r>
      </w:hyperlink>
      <w:r w:rsidRPr="002C6F54">
        <w:rPr>
          <w:rFonts w:ascii="Times New Roman" w:hAnsi="Times New Roman" w:cs="Times New Roman"/>
          <w:sz w:val="28"/>
          <w:szCs w:val="28"/>
        </w:rPr>
        <w:t>, в случае, когда объект основных фондов принят к учету неновым, то есть бывшим в эксплуатации у другой организации, на величину фактического срока эксплуатации на дату принятия к бухучету в данной организации (</w:t>
      </w:r>
      <w:hyperlink r:id="rId18" w:tooltip="Постановление Госкомстата РФ от 21.01.2003 N 7 &quot;Об утверждении унифицированных форм первичной учетной документации по учету основных средств&quot;{КонсультантПлюс}" w:history="1">
        <w:r w:rsidRPr="002C6F54">
          <w:rPr>
            <w:rFonts w:ascii="Times New Roman" w:hAnsi="Times New Roman" w:cs="Times New Roman"/>
            <w:color w:val="0000FF"/>
            <w:sz w:val="28"/>
            <w:szCs w:val="28"/>
          </w:rPr>
          <w:t>гр. 6 разд. 1</w:t>
        </w:r>
      </w:hyperlink>
      <w:r w:rsidRPr="002C6F54">
        <w:rPr>
          <w:rFonts w:ascii="Times New Roman" w:hAnsi="Times New Roman" w:cs="Times New Roman"/>
          <w:sz w:val="28"/>
          <w:szCs w:val="28"/>
        </w:rPr>
        <w:t xml:space="preserve"> ф. N ОС-6).</w:t>
      </w:r>
    </w:p>
    <w:p w:rsidR="006E7A53" w:rsidRPr="002C6F54" w:rsidRDefault="006E7A53" w:rsidP="006E7A53">
      <w:pPr>
        <w:pStyle w:val="ConsPlusNormal"/>
        <w:ind w:firstLine="540"/>
        <w:jc w:val="both"/>
        <w:rPr>
          <w:rFonts w:ascii="Times New Roman" w:hAnsi="Times New Roman" w:cs="Times New Roman"/>
          <w:sz w:val="28"/>
          <w:szCs w:val="28"/>
        </w:rPr>
      </w:pPr>
      <w:r w:rsidRPr="002C6F54">
        <w:rPr>
          <w:rFonts w:ascii="Times New Roman" w:hAnsi="Times New Roman" w:cs="Times New Roman"/>
          <w:sz w:val="28"/>
          <w:szCs w:val="28"/>
        </w:rPr>
        <w:t xml:space="preserve">В </w:t>
      </w:r>
      <w:hyperlink w:anchor="Par2128" w:tooltip="6" w:history="1">
        <w:r w:rsidRPr="002C6F54">
          <w:rPr>
            <w:rFonts w:ascii="Times New Roman" w:hAnsi="Times New Roman" w:cs="Times New Roman"/>
            <w:color w:val="0000FF"/>
            <w:sz w:val="28"/>
            <w:szCs w:val="28"/>
          </w:rPr>
          <w:t>графе 6</w:t>
        </w:r>
      </w:hyperlink>
      <w:r w:rsidRPr="002C6F54">
        <w:rPr>
          <w:rFonts w:ascii="Times New Roman" w:hAnsi="Times New Roman" w:cs="Times New Roman"/>
          <w:sz w:val="28"/>
          <w:szCs w:val="28"/>
        </w:rPr>
        <w:t xml:space="preserve"> указывается фактический возраст (полное количество лет) на момент ликвидации объекта. Для объектов основных фондов, предназначенных к ликвидации, указывается фактический возраст по состоянию на конец 2018 года.</w:t>
      </w:r>
    </w:p>
    <w:p w:rsidR="006E7A53" w:rsidRPr="002C6F54" w:rsidRDefault="006E7A53" w:rsidP="006E7A53">
      <w:pPr>
        <w:pStyle w:val="ConsPlusNormal"/>
        <w:ind w:firstLine="540"/>
        <w:jc w:val="both"/>
        <w:rPr>
          <w:rFonts w:ascii="Times New Roman" w:hAnsi="Times New Roman" w:cs="Times New Roman"/>
          <w:sz w:val="28"/>
          <w:szCs w:val="28"/>
        </w:rPr>
      </w:pPr>
      <w:r w:rsidRPr="002C6F54">
        <w:rPr>
          <w:rFonts w:ascii="Times New Roman" w:hAnsi="Times New Roman" w:cs="Times New Roman"/>
          <w:sz w:val="28"/>
          <w:szCs w:val="28"/>
        </w:rPr>
        <w:t xml:space="preserve">В </w:t>
      </w:r>
      <w:hyperlink w:anchor="Par2129" w:tooltip="7" w:history="1">
        <w:r w:rsidRPr="002C6F54">
          <w:rPr>
            <w:rFonts w:ascii="Times New Roman" w:hAnsi="Times New Roman" w:cs="Times New Roman"/>
            <w:color w:val="0000FF"/>
            <w:sz w:val="28"/>
            <w:szCs w:val="28"/>
          </w:rPr>
          <w:t>графе 7</w:t>
        </w:r>
      </w:hyperlink>
      <w:r w:rsidRPr="002C6F54">
        <w:rPr>
          <w:rFonts w:ascii="Times New Roman" w:hAnsi="Times New Roman" w:cs="Times New Roman"/>
          <w:sz w:val="28"/>
          <w:szCs w:val="28"/>
        </w:rPr>
        <w:t xml:space="preserve"> отражается значение года фактической ликвидации объекта основных фондов, которое может быть равным 2016, 2017 или 2018. Для объектов основных фондов, предназначенных к ликвидации, но физически не ликвидированных, значение года фактической ликвидации будет равным 2018.</w:t>
      </w:r>
    </w:p>
    <w:p w:rsidR="006E7A53" w:rsidRPr="002C6F54" w:rsidRDefault="006E7A53" w:rsidP="006E7A53">
      <w:pPr>
        <w:pStyle w:val="ConsPlusNormal"/>
        <w:ind w:firstLine="540"/>
        <w:jc w:val="both"/>
        <w:rPr>
          <w:rFonts w:ascii="Times New Roman" w:hAnsi="Times New Roman" w:cs="Times New Roman"/>
          <w:sz w:val="28"/>
          <w:szCs w:val="28"/>
        </w:rPr>
      </w:pPr>
      <w:r w:rsidRPr="002C6F54">
        <w:rPr>
          <w:rFonts w:ascii="Times New Roman" w:hAnsi="Times New Roman" w:cs="Times New Roman"/>
          <w:sz w:val="28"/>
          <w:szCs w:val="28"/>
        </w:rPr>
        <w:t xml:space="preserve">В </w:t>
      </w:r>
      <w:hyperlink w:anchor="Par2130" w:tooltip="8" w:history="1">
        <w:r w:rsidRPr="002C6F54">
          <w:rPr>
            <w:rFonts w:ascii="Times New Roman" w:hAnsi="Times New Roman" w:cs="Times New Roman"/>
            <w:color w:val="0000FF"/>
            <w:sz w:val="28"/>
            <w:szCs w:val="28"/>
          </w:rPr>
          <w:t>графе 8</w:t>
        </w:r>
      </w:hyperlink>
      <w:r w:rsidRPr="002C6F54">
        <w:rPr>
          <w:rFonts w:ascii="Times New Roman" w:hAnsi="Times New Roman" w:cs="Times New Roman"/>
          <w:sz w:val="28"/>
          <w:szCs w:val="28"/>
        </w:rPr>
        <w:t xml:space="preserve"> указывается остаточная балансовая стоимость, а в </w:t>
      </w:r>
      <w:hyperlink w:anchor="Par2131" w:tooltip="9" w:history="1">
        <w:r w:rsidRPr="002C6F54">
          <w:rPr>
            <w:rFonts w:ascii="Times New Roman" w:hAnsi="Times New Roman" w:cs="Times New Roman"/>
            <w:color w:val="0000FF"/>
            <w:sz w:val="28"/>
            <w:szCs w:val="28"/>
          </w:rPr>
          <w:t>графе 9</w:t>
        </w:r>
      </w:hyperlink>
      <w:r w:rsidRPr="002C6F54">
        <w:rPr>
          <w:rFonts w:ascii="Times New Roman" w:hAnsi="Times New Roman" w:cs="Times New Roman"/>
          <w:sz w:val="28"/>
          <w:szCs w:val="28"/>
        </w:rPr>
        <w:t xml:space="preserve"> - накопленный износ объекта основных фондов по состоянию на конец года фактической ликвидации.</w:t>
      </w:r>
    </w:p>
    <w:p w:rsidR="006E7A53" w:rsidRPr="002C6F54" w:rsidRDefault="006E7A53" w:rsidP="006E7A53">
      <w:pPr>
        <w:pStyle w:val="ConsPlusNormal"/>
        <w:ind w:firstLine="540"/>
        <w:jc w:val="both"/>
        <w:rPr>
          <w:rFonts w:ascii="Times New Roman" w:hAnsi="Times New Roman" w:cs="Times New Roman"/>
          <w:sz w:val="28"/>
          <w:szCs w:val="28"/>
        </w:rPr>
      </w:pPr>
      <w:r w:rsidRPr="002C6F54">
        <w:rPr>
          <w:rFonts w:ascii="Times New Roman" w:hAnsi="Times New Roman" w:cs="Times New Roman"/>
          <w:sz w:val="28"/>
          <w:szCs w:val="28"/>
        </w:rPr>
        <w:t>Остаточная балансовая стоимость отражает изменение состояния основных фондов, постепенную утрату ими потребительских свойств и стоимости в процессе эксплуатации, под воздействием сил природы и вследствие технического прогресса в размере накопленного износа с учетом их изменения в результате переоценки. При этом величина износа определяется в соответствии с нормами и методами начисления амортизации и износа, применяемыми в бухгалтерском учете.</w:t>
      </w:r>
    </w:p>
    <w:p w:rsidR="006E7A53" w:rsidRPr="002C6F54" w:rsidRDefault="006E7A53" w:rsidP="006E7A53">
      <w:pPr>
        <w:pStyle w:val="ConsPlusNormal"/>
        <w:ind w:firstLine="540"/>
        <w:jc w:val="both"/>
        <w:rPr>
          <w:rFonts w:ascii="Times New Roman" w:hAnsi="Times New Roman" w:cs="Times New Roman"/>
          <w:sz w:val="28"/>
          <w:szCs w:val="28"/>
        </w:rPr>
      </w:pPr>
      <w:r w:rsidRPr="002C6F54">
        <w:rPr>
          <w:rFonts w:ascii="Times New Roman" w:hAnsi="Times New Roman" w:cs="Times New Roman"/>
          <w:sz w:val="28"/>
          <w:szCs w:val="28"/>
        </w:rPr>
        <w:t>Накопленный износ объекта основных фондов представляет собой сумму начисленного износа, начиная с начала эксплуатации до года фактической ликвидации объекта основных фондов.</w:t>
      </w:r>
    </w:p>
    <w:p w:rsidR="006E7A53" w:rsidRPr="002C6F54" w:rsidRDefault="006E7A53" w:rsidP="006E7A53">
      <w:pPr>
        <w:pStyle w:val="ConsPlusNormal"/>
        <w:ind w:firstLine="540"/>
        <w:jc w:val="both"/>
        <w:rPr>
          <w:rFonts w:ascii="Times New Roman" w:hAnsi="Times New Roman" w:cs="Times New Roman"/>
          <w:sz w:val="28"/>
          <w:szCs w:val="28"/>
        </w:rPr>
      </w:pPr>
      <w:r w:rsidRPr="002C6F54">
        <w:rPr>
          <w:rFonts w:ascii="Times New Roman" w:hAnsi="Times New Roman" w:cs="Times New Roman"/>
          <w:sz w:val="28"/>
          <w:szCs w:val="28"/>
        </w:rPr>
        <w:lastRenderedPageBreak/>
        <w:t>Для объектов основных фондов, предназначенных к ликвидации, указывается остаточная балансовая стоимость и накопленный износ по состоянию на конец 2018 года.</w:t>
      </w:r>
    </w:p>
    <w:p w:rsidR="006E7A53" w:rsidRPr="002C6F54" w:rsidRDefault="006E7A53" w:rsidP="006E7A53">
      <w:pPr>
        <w:pStyle w:val="ConsPlusNormal"/>
        <w:ind w:firstLine="540"/>
        <w:jc w:val="both"/>
        <w:rPr>
          <w:rFonts w:ascii="Times New Roman" w:hAnsi="Times New Roman" w:cs="Times New Roman"/>
          <w:sz w:val="28"/>
          <w:szCs w:val="28"/>
        </w:rPr>
      </w:pPr>
      <w:r w:rsidRPr="002C6F54">
        <w:rPr>
          <w:rFonts w:ascii="Times New Roman" w:hAnsi="Times New Roman" w:cs="Times New Roman"/>
          <w:sz w:val="28"/>
          <w:szCs w:val="28"/>
        </w:rPr>
        <w:t xml:space="preserve">В </w:t>
      </w:r>
      <w:hyperlink w:anchor="Par2132" w:tooltip="10" w:history="1">
        <w:r w:rsidRPr="002C6F54">
          <w:rPr>
            <w:rFonts w:ascii="Times New Roman" w:hAnsi="Times New Roman" w:cs="Times New Roman"/>
            <w:color w:val="0000FF"/>
            <w:sz w:val="28"/>
            <w:szCs w:val="28"/>
          </w:rPr>
          <w:t>графе 10</w:t>
        </w:r>
      </w:hyperlink>
      <w:r w:rsidRPr="002C6F54">
        <w:rPr>
          <w:rFonts w:ascii="Times New Roman" w:hAnsi="Times New Roman" w:cs="Times New Roman"/>
          <w:sz w:val="28"/>
          <w:szCs w:val="28"/>
        </w:rPr>
        <w:t xml:space="preserve"> указывается год (от 1995 до 2018 года включительно), в ценах которого учтен конкретный объект основных фондов по состоянию на конец года фактической ликвидации объекта основных фондов. При этом и для основных фондов, учтенных в ценах на 1 января определенного года, и для учтенных в фактических ценах приобретения того же года указывается один и тот же год. Год должен указываться полностью (4 знака).</w:t>
      </w:r>
    </w:p>
    <w:p w:rsidR="006E7A53" w:rsidRPr="002C6F54" w:rsidRDefault="006E7A53" w:rsidP="006E7A53">
      <w:pPr>
        <w:pStyle w:val="ConsPlusNormal"/>
        <w:ind w:firstLine="540"/>
        <w:jc w:val="both"/>
        <w:rPr>
          <w:rFonts w:ascii="Times New Roman" w:hAnsi="Times New Roman" w:cs="Times New Roman"/>
          <w:sz w:val="28"/>
          <w:szCs w:val="28"/>
        </w:rPr>
      </w:pPr>
      <w:r w:rsidRPr="002C6F54">
        <w:rPr>
          <w:rFonts w:ascii="Times New Roman" w:hAnsi="Times New Roman" w:cs="Times New Roman"/>
          <w:sz w:val="28"/>
          <w:szCs w:val="28"/>
        </w:rPr>
        <w:t xml:space="preserve">В </w:t>
      </w:r>
      <w:hyperlink w:anchor="Par2133" w:tooltip="11" w:history="1">
        <w:r w:rsidRPr="002C6F54">
          <w:rPr>
            <w:rFonts w:ascii="Times New Roman" w:hAnsi="Times New Roman" w:cs="Times New Roman"/>
            <w:color w:val="0000FF"/>
            <w:sz w:val="28"/>
            <w:szCs w:val="28"/>
          </w:rPr>
          <w:t>графе 11</w:t>
        </w:r>
      </w:hyperlink>
      <w:r w:rsidRPr="002C6F54">
        <w:rPr>
          <w:rFonts w:ascii="Times New Roman" w:hAnsi="Times New Roman" w:cs="Times New Roman"/>
          <w:sz w:val="28"/>
          <w:szCs w:val="28"/>
        </w:rPr>
        <w:t xml:space="preserve"> указывается причина ликвидации объекта основных фондов. В ней должен быть указан один из кодов:</w:t>
      </w:r>
    </w:p>
    <w:p w:rsidR="006E7A53" w:rsidRPr="002C6F54" w:rsidRDefault="006E7A53" w:rsidP="006E7A53">
      <w:pPr>
        <w:pStyle w:val="ConsPlusNormal"/>
        <w:ind w:firstLine="540"/>
        <w:jc w:val="both"/>
        <w:rPr>
          <w:rFonts w:ascii="Times New Roman" w:hAnsi="Times New Roman" w:cs="Times New Roman"/>
          <w:sz w:val="28"/>
          <w:szCs w:val="28"/>
        </w:rPr>
      </w:pPr>
      <w:r w:rsidRPr="002C6F54">
        <w:rPr>
          <w:rFonts w:ascii="Times New Roman" w:hAnsi="Times New Roman" w:cs="Times New Roman"/>
          <w:sz w:val="28"/>
          <w:szCs w:val="28"/>
        </w:rPr>
        <w:t>1 - непригодность для дальнейшего использования вследствие неудовлетворительного технического состояния или физической изношенности;</w:t>
      </w:r>
    </w:p>
    <w:p w:rsidR="006E7A53" w:rsidRPr="002C6F54" w:rsidRDefault="006E7A53" w:rsidP="006E7A53">
      <w:pPr>
        <w:pStyle w:val="ConsPlusNormal"/>
        <w:ind w:firstLine="540"/>
        <w:jc w:val="both"/>
        <w:rPr>
          <w:rFonts w:ascii="Times New Roman" w:hAnsi="Times New Roman" w:cs="Times New Roman"/>
          <w:sz w:val="28"/>
          <w:szCs w:val="28"/>
        </w:rPr>
      </w:pPr>
      <w:r w:rsidRPr="002C6F54">
        <w:rPr>
          <w:rFonts w:ascii="Times New Roman" w:hAnsi="Times New Roman" w:cs="Times New Roman"/>
          <w:sz w:val="28"/>
          <w:szCs w:val="28"/>
        </w:rPr>
        <w:t>2 - экономическая неэффективность использования вследствие морального устаревания;</w:t>
      </w:r>
    </w:p>
    <w:p w:rsidR="006E7A53" w:rsidRPr="002C6F54" w:rsidRDefault="006E7A53" w:rsidP="006E7A53">
      <w:pPr>
        <w:pStyle w:val="ConsPlusNormal"/>
        <w:ind w:firstLine="540"/>
        <w:jc w:val="both"/>
        <w:rPr>
          <w:rFonts w:ascii="Times New Roman" w:hAnsi="Times New Roman" w:cs="Times New Roman"/>
          <w:sz w:val="28"/>
          <w:szCs w:val="28"/>
        </w:rPr>
      </w:pPr>
      <w:r w:rsidRPr="002C6F54">
        <w:rPr>
          <w:rFonts w:ascii="Times New Roman" w:hAnsi="Times New Roman" w:cs="Times New Roman"/>
          <w:sz w:val="28"/>
          <w:szCs w:val="28"/>
        </w:rPr>
        <w:t>3 - ликвидация вследствие случайных повреждений, поломки;</w:t>
      </w:r>
    </w:p>
    <w:p w:rsidR="006E7A53" w:rsidRPr="002C6F54" w:rsidRDefault="006E7A53" w:rsidP="006E7A53">
      <w:pPr>
        <w:pStyle w:val="ConsPlusNormal"/>
        <w:ind w:firstLine="540"/>
        <w:jc w:val="both"/>
        <w:rPr>
          <w:rFonts w:ascii="Times New Roman" w:hAnsi="Times New Roman" w:cs="Times New Roman"/>
          <w:sz w:val="28"/>
          <w:szCs w:val="28"/>
        </w:rPr>
      </w:pPr>
      <w:r w:rsidRPr="002C6F54">
        <w:rPr>
          <w:rFonts w:ascii="Times New Roman" w:hAnsi="Times New Roman" w:cs="Times New Roman"/>
          <w:sz w:val="28"/>
          <w:szCs w:val="28"/>
        </w:rPr>
        <w:t>4 - ликвидация вследствие крупномасштабных аварий, стихийных бедствий или катастроф.</w:t>
      </w:r>
    </w:p>
    <w:p w:rsidR="006E7A53" w:rsidRPr="002C6F54" w:rsidRDefault="006E7A53" w:rsidP="006E7A53">
      <w:pPr>
        <w:pStyle w:val="ConsPlusNormal"/>
        <w:ind w:firstLine="540"/>
        <w:jc w:val="both"/>
        <w:rPr>
          <w:rFonts w:ascii="Times New Roman" w:hAnsi="Times New Roman" w:cs="Times New Roman"/>
          <w:sz w:val="28"/>
          <w:szCs w:val="28"/>
        </w:rPr>
      </w:pPr>
      <w:r w:rsidRPr="002C6F54">
        <w:rPr>
          <w:rFonts w:ascii="Times New Roman" w:hAnsi="Times New Roman" w:cs="Times New Roman"/>
          <w:sz w:val="28"/>
          <w:szCs w:val="28"/>
        </w:rPr>
        <w:t>В графах и строках ставится "0" только в тех случаях, когда параметры какого-либо показателя нулевые, при отсутствии сведений по показателю следует ставить "-" (прочерк).</w:t>
      </w:r>
    </w:p>
    <w:p w:rsidR="006E7A53" w:rsidRPr="002C6F54" w:rsidRDefault="006E7A53" w:rsidP="006E7A53">
      <w:pPr>
        <w:pStyle w:val="ConsPlusNormal"/>
        <w:ind w:firstLine="540"/>
        <w:jc w:val="both"/>
        <w:rPr>
          <w:rFonts w:ascii="Times New Roman" w:hAnsi="Times New Roman" w:cs="Times New Roman"/>
          <w:sz w:val="28"/>
          <w:szCs w:val="28"/>
        </w:rPr>
      </w:pPr>
      <w:r w:rsidRPr="002C6F54">
        <w:rPr>
          <w:rFonts w:ascii="Times New Roman" w:hAnsi="Times New Roman" w:cs="Times New Roman"/>
          <w:sz w:val="28"/>
          <w:szCs w:val="28"/>
        </w:rPr>
        <w:t xml:space="preserve">10. При заполнении </w:t>
      </w:r>
      <w:hyperlink w:anchor="Par2073" w:tooltip="СВЕДЕНИЯ О СРОКАХ СЛУЖБЫ ОБЪЕКТОВ ОСНОВНЫХ ФОНДОВ" w:history="1">
        <w:r w:rsidRPr="002C6F54">
          <w:rPr>
            <w:rFonts w:ascii="Times New Roman" w:hAnsi="Times New Roman" w:cs="Times New Roman"/>
            <w:color w:val="0000FF"/>
            <w:sz w:val="28"/>
            <w:szCs w:val="28"/>
          </w:rPr>
          <w:t>формы</w:t>
        </w:r>
      </w:hyperlink>
      <w:r w:rsidRPr="002C6F54">
        <w:rPr>
          <w:rFonts w:ascii="Times New Roman" w:hAnsi="Times New Roman" w:cs="Times New Roman"/>
          <w:sz w:val="28"/>
          <w:szCs w:val="28"/>
        </w:rPr>
        <w:t xml:space="preserve"> соблюдаются следующие обязательные контрольные соотношения:</w:t>
      </w:r>
    </w:p>
    <w:p w:rsidR="006E7A53" w:rsidRDefault="006E7A53" w:rsidP="006E7A5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28"/>
        <w:gridCol w:w="6011"/>
      </w:tblGrid>
      <w:tr w:rsidR="006E7A53" w:rsidTr="006E7A53">
        <w:tc>
          <w:tcPr>
            <w:tcW w:w="3628" w:type="dxa"/>
            <w:tcBorders>
              <w:top w:val="single" w:sz="4" w:space="0" w:color="auto"/>
              <w:left w:val="single" w:sz="4" w:space="0" w:color="auto"/>
              <w:bottom w:val="single" w:sz="4" w:space="0" w:color="auto"/>
              <w:right w:val="single" w:sz="4" w:space="0" w:color="auto"/>
            </w:tcBorders>
          </w:tcPr>
          <w:p w:rsidR="006E7A53" w:rsidRPr="006E7A53" w:rsidRDefault="006E7A53" w:rsidP="00BF5621">
            <w:pPr>
              <w:pStyle w:val="ConsPlusNormal"/>
              <w:jc w:val="both"/>
              <w:rPr>
                <w:rFonts w:ascii="Times New Roman" w:hAnsi="Times New Roman" w:cs="Times New Roman"/>
              </w:rPr>
            </w:pPr>
            <w:r w:rsidRPr="006E7A53">
              <w:rPr>
                <w:rFonts w:ascii="Times New Roman" w:hAnsi="Times New Roman" w:cs="Times New Roman"/>
              </w:rPr>
              <w:t>По всем строкам:</w:t>
            </w:r>
          </w:p>
          <w:p w:rsidR="006E7A53" w:rsidRPr="006E7A53" w:rsidRDefault="006E7A53" w:rsidP="00BF5621">
            <w:pPr>
              <w:pStyle w:val="ConsPlusNormal"/>
              <w:jc w:val="both"/>
              <w:rPr>
                <w:rFonts w:ascii="Times New Roman" w:hAnsi="Times New Roman" w:cs="Times New Roman"/>
              </w:rPr>
            </w:pPr>
            <w:hyperlink w:anchor="Par2126" w:tooltip="4" w:history="1">
              <w:r w:rsidRPr="006E7A53">
                <w:rPr>
                  <w:rFonts w:ascii="Times New Roman" w:hAnsi="Times New Roman" w:cs="Times New Roman"/>
                  <w:color w:val="0000FF"/>
                </w:rPr>
                <w:t>графы 4</w:t>
              </w:r>
            </w:hyperlink>
            <w:r w:rsidRPr="006E7A53">
              <w:rPr>
                <w:rFonts w:ascii="Times New Roman" w:hAnsi="Times New Roman" w:cs="Times New Roman"/>
              </w:rPr>
              <w:t xml:space="preserve"> </w:t>
            </w:r>
            <w:r w:rsidRPr="006E7A53">
              <w:rPr>
                <w:rFonts w:ascii="Times New Roman" w:hAnsi="Times New Roman" w:cs="Times New Roman"/>
                <w:noProof/>
                <w:position w:val="1"/>
              </w:rPr>
              <w:drawing>
                <wp:inline distT="0" distB="0" distL="0" distR="0">
                  <wp:extent cx="118745" cy="1187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6E7A53">
              <w:rPr>
                <w:rFonts w:ascii="Times New Roman" w:hAnsi="Times New Roman" w:cs="Times New Roman"/>
              </w:rPr>
              <w:t xml:space="preserve"> </w:t>
            </w:r>
            <w:hyperlink w:anchor="Par2129" w:tooltip="7" w:history="1">
              <w:r w:rsidRPr="006E7A53">
                <w:rPr>
                  <w:rFonts w:ascii="Times New Roman" w:hAnsi="Times New Roman" w:cs="Times New Roman"/>
                  <w:color w:val="0000FF"/>
                </w:rPr>
                <w:t>7</w:t>
              </w:r>
            </w:hyperlink>
            <w:r w:rsidRPr="006E7A53">
              <w:rPr>
                <w:rFonts w:ascii="Times New Roman" w:hAnsi="Times New Roman" w:cs="Times New Roman"/>
              </w:rPr>
              <w:t xml:space="preserve">, </w:t>
            </w:r>
            <w:hyperlink w:anchor="Par2131" w:tooltip="9" w:history="1">
              <w:r w:rsidRPr="006E7A53">
                <w:rPr>
                  <w:rFonts w:ascii="Times New Roman" w:hAnsi="Times New Roman" w:cs="Times New Roman"/>
                  <w:color w:val="0000FF"/>
                </w:rPr>
                <w:t>9</w:t>
              </w:r>
            </w:hyperlink>
            <w:r w:rsidRPr="006E7A53">
              <w:rPr>
                <w:rFonts w:ascii="Times New Roman" w:hAnsi="Times New Roman" w:cs="Times New Roman"/>
              </w:rPr>
              <w:t xml:space="preserve"> </w:t>
            </w:r>
            <w:r w:rsidRPr="006E7A53">
              <w:rPr>
                <w:rFonts w:ascii="Times New Roman" w:hAnsi="Times New Roman" w:cs="Times New Roman"/>
                <w:noProof/>
                <w:position w:val="1"/>
              </w:rPr>
              <w:drawing>
                <wp:inline distT="0" distB="0" distL="0" distR="0">
                  <wp:extent cx="118745" cy="1187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6E7A53">
              <w:rPr>
                <w:rFonts w:ascii="Times New Roman" w:hAnsi="Times New Roman" w:cs="Times New Roman"/>
              </w:rPr>
              <w:t xml:space="preserve"> </w:t>
            </w:r>
            <w:hyperlink w:anchor="Par2133" w:tooltip="11" w:history="1">
              <w:r w:rsidRPr="006E7A53">
                <w:rPr>
                  <w:rFonts w:ascii="Times New Roman" w:hAnsi="Times New Roman" w:cs="Times New Roman"/>
                  <w:color w:val="0000FF"/>
                </w:rPr>
                <w:t>11</w:t>
              </w:r>
            </w:hyperlink>
            <w:r w:rsidRPr="006E7A53">
              <w:rPr>
                <w:rFonts w:ascii="Times New Roman" w:hAnsi="Times New Roman" w:cs="Times New Roman"/>
              </w:rPr>
              <w:t xml:space="preserve"> &gt; 0</w:t>
            </w:r>
          </w:p>
          <w:p w:rsidR="006E7A53" w:rsidRPr="006E7A53" w:rsidRDefault="006E7A53" w:rsidP="00BF5621">
            <w:pPr>
              <w:pStyle w:val="ConsPlusNormal"/>
              <w:jc w:val="both"/>
              <w:rPr>
                <w:rFonts w:ascii="Times New Roman" w:hAnsi="Times New Roman" w:cs="Times New Roman"/>
              </w:rPr>
            </w:pPr>
            <w:hyperlink w:anchor="Par2127" w:tooltip="5" w:history="1">
              <w:r w:rsidRPr="006E7A53">
                <w:rPr>
                  <w:rFonts w:ascii="Times New Roman" w:hAnsi="Times New Roman" w:cs="Times New Roman"/>
                  <w:color w:val="0000FF"/>
                </w:rPr>
                <w:t>гр. 5</w:t>
              </w:r>
            </w:hyperlink>
            <w:r w:rsidRPr="006E7A53">
              <w:rPr>
                <w:rFonts w:ascii="Times New Roman" w:hAnsi="Times New Roman" w:cs="Times New Roman"/>
              </w:rPr>
              <w:t xml:space="preserve"> </w:t>
            </w:r>
            <w:r w:rsidRPr="006E7A53">
              <w:rPr>
                <w:rFonts w:ascii="Times New Roman" w:hAnsi="Times New Roman" w:cs="Times New Roman"/>
                <w:noProof/>
                <w:position w:val="-2"/>
              </w:rPr>
              <w:drawing>
                <wp:inline distT="0" distB="0" distL="0" distR="0">
                  <wp:extent cx="118745" cy="15430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118745" cy="154305"/>
                          </a:xfrm>
                          <a:prstGeom prst="rect">
                            <a:avLst/>
                          </a:prstGeom>
                          <a:noFill/>
                          <a:ln w="9525">
                            <a:noFill/>
                            <a:miter lim="800000"/>
                            <a:headEnd/>
                            <a:tailEnd/>
                          </a:ln>
                        </pic:spPr>
                      </pic:pic>
                    </a:graphicData>
                  </a:graphic>
                </wp:inline>
              </w:drawing>
            </w:r>
            <w:r w:rsidRPr="006E7A53">
              <w:rPr>
                <w:rFonts w:ascii="Times New Roman" w:hAnsi="Times New Roman" w:cs="Times New Roman"/>
              </w:rPr>
              <w:t xml:space="preserve"> </w:t>
            </w:r>
            <w:hyperlink w:anchor="Par2126" w:tooltip="4" w:history="1">
              <w:r w:rsidRPr="006E7A53">
                <w:rPr>
                  <w:rFonts w:ascii="Times New Roman" w:hAnsi="Times New Roman" w:cs="Times New Roman"/>
                  <w:color w:val="0000FF"/>
                </w:rPr>
                <w:t>гр. 4</w:t>
              </w:r>
            </w:hyperlink>
          </w:p>
          <w:p w:rsidR="006E7A53" w:rsidRPr="006E7A53" w:rsidRDefault="006E7A53" w:rsidP="00BF5621">
            <w:pPr>
              <w:pStyle w:val="ConsPlusNormal"/>
              <w:jc w:val="both"/>
              <w:rPr>
                <w:rFonts w:ascii="Times New Roman" w:hAnsi="Times New Roman" w:cs="Times New Roman"/>
              </w:rPr>
            </w:pPr>
            <w:hyperlink w:anchor="Par2129" w:tooltip="7" w:history="1">
              <w:r w:rsidRPr="006E7A53">
                <w:rPr>
                  <w:rFonts w:ascii="Times New Roman" w:hAnsi="Times New Roman" w:cs="Times New Roman"/>
                  <w:color w:val="0000FF"/>
                </w:rPr>
                <w:t>гр. 7</w:t>
              </w:r>
            </w:hyperlink>
            <w:r w:rsidRPr="006E7A53">
              <w:rPr>
                <w:rFonts w:ascii="Times New Roman" w:hAnsi="Times New Roman" w:cs="Times New Roman"/>
              </w:rPr>
              <w:t xml:space="preserve"> &gt; </w:t>
            </w:r>
            <w:hyperlink w:anchor="Par2127" w:tooltip="5" w:history="1">
              <w:r w:rsidRPr="006E7A53">
                <w:rPr>
                  <w:rFonts w:ascii="Times New Roman" w:hAnsi="Times New Roman" w:cs="Times New Roman"/>
                  <w:color w:val="0000FF"/>
                </w:rPr>
                <w:t>гр. 5</w:t>
              </w:r>
            </w:hyperlink>
          </w:p>
          <w:p w:rsidR="006E7A53" w:rsidRPr="006E7A53" w:rsidRDefault="006E7A53" w:rsidP="00BF5621">
            <w:pPr>
              <w:pStyle w:val="ConsPlusNormal"/>
              <w:jc w:val="both"/>
              <w:rPr>
                <w:rFonts w:ascii="Times New Roman" w:hAnsi="Times New Roman" w:cs="Times New Roman"/>
              </w:rPr>
            </w:pPr>
            <w:hyperlink w:anchor="Par2132" w:tooltip="10" w:history="1">
              <w:r w:rsidRPr="006E7A53">
                <w:rPr>
                  <w:rFonts w:ascii="Times New Roman" w:hAnsi="Times New Roman" w:cs="Times New Roman"/>
                  <w:color w:val="0000FF"/>
                </w:rPr>
                <w:t>гр. 10</w:t>
              </w:r>
            </w:hyperlink>
            <w:r w:rsidRPr="006E7A53">
              <w:rPr>
                <w:rFonts w:ascii="Times New Roman" w:hAnsi="Times New Roman" w:cs="Times New Roman"/>
              </w:rPr>
              <w:t xml:space="preserve"> </w:t>
            </w:r>
            <w:r w:rsidRPr="006E7A53">
              <w:rPr>
                <w:rFonts w:ascii="Times New Roman" w:hAnsi="Times New Roman" w:cs="Times New Roman"/>
                <w:noProof/>
                <w:position w:val="-2"/>
              </w:rPr>
              <w:drawing>
                <wp:inline distT="0" distB="0" distL="0" distR="0">
                  <wp:extent cx="118745" cy="15430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118745" cy="154305"/>
                          </a:xfrm>
                          <a:prstGeom prst="rect">
                            <a:avLst/>
                          </a:prstGeom>
                          <a:noFill/>
                          <a:ln w="9525">
                            <a:noFill/>
                            <a:miter lim="800000"/>
                            <a:headEnd/>
                            <a:tailEnd/>
                          </a:ln>
                        </pic:spPr>
                      </pic:pic>
                    </a:graphicData>
                  </a:graphic>
                </wp:inline>
              </w:drawing>
            </w:r>
            <w:r w:rsidRPr="006E7A53">
              <w:rPr>
                <w:rFonts w:ascii="Times New Roman" w:hAnsi="Times New Roman" w:cs="Times New Roman"/>
              </w:rPr>
              <w:t xml:space="preserve"> </w:t>
            </w:r>
            <w:hyperlink w:anchor="Par2127" w:tooltip="5" w:history="1">
              <w:r w:rsidRPr="006E7A53">
                <w:rPr>
                  <w:rFonts w:ascii="Times New Roman" w:hAnsi="Times New Roman" w:cs="Times New Roman"/>
                  <w:color w:val="0000FF"/>
                </w:rPr>
                <w:t>гр. 5</w:t>
              </w:r>
            </w:hyperlink>
          </w:p>
          <w:p w:rsidR="006E7A53" w:rsidRPr="006E7A53" w:rsidRDefault="006E7A53" w:rsidP="00BF5621">
            <w:pPr>
              <w:pStyle w:val="ConsPlusNormal"/>
              <w:jc w:val="both"/>
              <w:rPr>
                <w:rFonts w:ascii="Times New Roman" w:hAnsi="Times New Roman" w:cs="Times New Roman"/>
              </w:rPr>
            </w:pPr>
            <w:hyperlink w:anchor="Par2130" w:tooltip="8" w:history="1">
              <w:r w:rsidRPr="006E7A53">
                <w:rPr>
                  <w:rFonts w:ascii="Times New Roman" w:hAnsi="Times New Roman" w:cs="Times New Roman"/>
                  <w:color w:val="0000FF"/>
                </w:rPr>
                <w:t>гр. 8</w:t>
              </w:r>
            </w:hyperlink>
            <w:r w:rsidRPr="006E7A53">
              <w:rPr>
                <w:rFonts w:ascii="Times New Roman" w:hAnsi="Times New Roman" w:cs="Times New Roman"/>
                <w:noProof/>
                <w:position w:val="-2"/>
              </w:rPr>
              <w:drawing>
                <wp:inline distT="0" distB="0" distL="0" distR="0">
                  <wp:extent cx="118745" cy="15430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18745" cy="154305"/>
                          </a:xfrm>
                          <a:prstGeom prst="rect">
                            <a:avLst/>
                          </a:prstGeom>
                          <a:noFill/>
                          <a:ln w="9525">
                            <a:noFill/>
                            <a:miter lim="800000"/>
                            <a:headEnd/>
                            <a:tailEnd/>
                          </a:ln>
                        </pic:spPr>
                      </pic:pic>
                    </a:graphicData>
                  </a:graphic>
                </wp:inline>
              </w:drawing>
            </w:r>
            <w:r w:rsidRPr="006E7A53">
              <w:rPr>
                <w:rFonts w:ascii="Times New Roman" w:hAnsi="Times New Roman" w:cs="Times New Roman"/>
              </w:rPr>
              <w:t xml:space="preserve"> 0</w:t>
            </w:r>
          </w:p>
          <w:p w:rsidR="006E7A53" w:rsidRPr="006E7A53" w:rsidRDefault="006E7A53" w:rsidP="00BF5621">
            <w:pPr>
              <w:pStyle w:val="ConsPlusNormal"/>
              <w:jc w:val="both"/>
              <w:rPr>
                <w:rFonts w:ascii="Times New Roman" w:hAnsi="Times New Roman" w:cs="Times New Roman"/>
              </w:rPr>
            </w:pPr>
            <w:hyperlink w:anchor="Par2129" w:tooltip="7" w:history="1">
              <w:r w:rsidRPr="006E7A53">
                <w:rPr>
                  <w:rFonts w:ascii="Times New Roman" w:hAnsi="Times New Roman" w:cs="Times New Roman"/>
                  <w:color w:val="0000FF"/>
                </w:rPr>
                <w:t>гр. 7</w:t>
              </w:r>
            </w:hyperlink>
            <w:r w:rsidRPr="006E7A53">
              <w:rPr>
                <w:rFonts w:ascii="Times New Roman" w:hAnsi="Times New Roman" w:cs="Times New Roman"/>
              </w:rPr>
              <w:t xml:space="preserve"> = 2016, или 2017, или 2018</w:t>
            </w:r>
          </w:p>
          <w:p w:rsidR="006E7A53" w:rsidRPr="006E7A53" w:rsidRDefault="006E7A53" w:rsidP="00BF5621">
            <w:pPr>
              <w:pStyle w:val="ConsPlusNormal"/>
              <w:jc w:val="both"/>
              <w:rPr>
                <w:rFonts w:ascii="Times New Roman" w:hAnsi="Times New Roman" w:cs="Times New Roman"/>
              </w:rPr>
            </w:pPr>
            <w:hyperlink w:anchor="Par2125" w:tooltip="3" w:history="1">
              <w:r w:rsidRPr="006E7A53">
                <w:rPr>
                  <w:rFonts w:ascii="Times New Roman" w:hAnsi="Times New Roman" w:cs="Times New Roman"/>
                  <w:color w:val="0000FF"/>
                </w:rPr>
                <w:t>гр. 3</w:t>
              </w:r>
            </w:hyperlink>
            <w:r w:rsidRPr="006E7A53">
              <w:rPr>
                <w:rFonts w:ascii="Times New Roman" w:hAnsi="Times New Roman" w:cs="Times New Roman"/>
              </w:rPr>
              <w:t xml:space="preserve"> = 1, или 2, или 3, или 4, или 5, или 6, или 7, или 8, или 9, или 10</w:t>
            </w:r>
          </w:p>
          <w:p w:rsidR="006E7A53" w:rsidRPr="006E7A53" w:rsidRDefault="006E7A53" w:rsidP="00BF5621">
            <w:pPr>
              <w:pStyle w:val="ConsPlusNormal"/>
              <w:jc w:val="both"/>
              <w:rPr>
                <w:rFonts w:ascii="Times New Roman" w:hAnsi="Times New Roman" w:cs="Times New Roman"/>
              </w:rPr>
            </w:pPr>
            <w:hyperlink w:anchor="Par2133" w:tooltip="11" w:history="1">
              <w:r w:rsidRPr="006E7A53">
                <w:rPr>
                  <w:rFonts w:ascii="Times New Roman" w:hAnsi="Times New Roman" w:cs="Times New Roman"/>
                  <w:color w:val="0000FF"/>
                </w:rPr>
                <w:t>гр. 11</w:t>
              </w:r>
            </w:hyperlink>
            <w:r w:rsidRPr="006E7A53">
              <w:rPr>
                <w:rFonts w:ascii="Times New Roman" w:hAnsi="Times New Roman" w:cs="Times New Roman"/>
              </w:rPr>
              <w:t xml:space="preserve"> = 1, или 2, или 3, или 4</w:t>
            </w:r>
          </w:p>
        </w:tc>
        <w:tc>
          <w:tcPr>
            <w:tcW w:w="6011" w:type="dxa"/>
            <w:tcBorders>
              <w:top w:val="single" w:sz="4" w:space="0" w:color="auto"/>
              <w:left w:val="single" w:sz="4" w:space="0" w:color="auto"/>
              <w:bottom w:val="single" w:sz="4" w:space="0" w:color="auto"/>
              <w:right w:val="single" w:sz="4" w:space="0" w:color="auto"/>
            </w:tcBorders>
          </w:tcPr>
          <w:p w:rsidR="006E7A53" w:rsidRPr="006E7A53" w:rsidRDefault="006E7A53" w:rsidP="00BF5621">
            <w:pPr>
              <w:pStyle w:val="ConsPlusNormal"/>
              <w:jc w:val="both"/>
              <w:rPr>
                <w:rFonts w:ascii="Times New Roman" w:hAnsi="Times New Roman" w:cs="Times New Roman"/>
              </w:rPr>
            </w:pPr>
            <w:r w:rsidRPr="006E7A53">
              <w:rPr>
                <w:rFonts w:ascii="Times New Roman" w:hAnsi="Times New Roman" w:cs="Times New Roman"/>
              </w:rPr>
              <w:t xml:space="preserve">Если в </w:t>
            </w:r>
            <w:hyperlink w:anchor="Par2124" w:tooltip="2" w:history="1">
              <w:r w:rsidRPr="006E7A53">
                <w:rPr>
                  <w:rFonts w:ascii="Times New Roman" w:hAnsi="Times New Roman" w:cs="Times New Roman"/>
                  <w:color w:val="0000FF"/>
                </w:rPr>
                <w:t>гр. 2</w:t>
              </w:r>
            </w:hyperlink>
            <w:r w:rsidRPr="006E7A53">
              <w:rPr>
                <w:rFonts w:ascii="Times New Roman" w:hAnsi="Times New Roman" w:cs="Times New Roman"/>
              </w:rPr>
              <w:t xml:space="preserve"> указан код </w:t>
            </w:r>
            <w:hyperlink r:id="rId22" w:tooltip="&quot;ОК 013-2014 (СНС 2008). Общероссийский классификатор основных фондов&quot; (принят и введен в действие Приказом Росстандарта от 12.12.2014 N 2018-ст) (ред. от 08.05.2018){КонсультантПлюс}" w:history="1">
              <w:r w:rsidRPr="006E7A53">
                <w:rPr>
                  <w:rFonts w:ascii="Times New Roman" w:hAnsi="Times New Roman" w:cs="Times New Roman"/>
                  <w:color w:val="0000FF"/>
                </w:rPr>
                <w:t>ОКОФ</w:t>
              </w:r>
            </w:hyperlink>
            <w:r w:rsidRPr="006E7A53">
              <w:rPr>
                <w:rFonts w:ascii="Times New Roman" w:hAnsi="Times New Roman" w:cs="Times New Roman"/>
              </w:rPr>
              <w:t xml:space="preserve">, начинающийся с 210..., то </w:t>
            </w:r>
            <w:hyperlink w:anchor="Par2125" w:tooltip="3" w:history="1">
              <w:r w:rsidRPr="006E7A53">
                <w:rPr>
                  <w:rFonts w:ascii="Times New Roman" w:hAnsi="Times New Roman" w:cs="Times New Roman"/>
                  <w:color w:val="0000FF"/>
                </w:rPr>
                <w:t>гр. 3</w:t>
              </w:r>
            </w:hyperlink>
            <w:r w:rsidRPr="006E7A53">
              <w:rPr>
                <w:rFonts w:ascii="Times New Roman" w:hAnsi="Times New Roman" w:cs="Times New Roman"/>
              </w:rPr>
              <w:t xml:space="preserve"> = 4, или 5, или 7, или 8, или 9, или 10.</w:t>
            </w:r>
          </w:p>
          <w:p w:rsidR="006E7A53" w:rsidRPr="006E7A53" w:rsidRDefault="006E7A53" w:rsidP="00BF5621">
            <w:pPr>
              <w:pStyle w:val="ConsPlusNormal"/>
              <w:jc w:val="both"/>
              <w:rPr>
                <w:rFonts w:ascii="Times New Roman" w:hAnsi="Times New Roman" w:cs="Times New Roman"/>
              </w:rPr>
            </w:pPr>
            <w:r w:rsidRPr="006E7A53">
              <w:rPr>
                <w:rFonts w:ascii="Times New Roman" w:hAnsi="Times New Roman" w:cs="Times New Roman"/>
              </w:rPr>
              <w:t xml:space="preserve">Если в </w:t>
            </w:r>
            <w:hyperlink w:anchor="Par2124" w:tooltip="2" w:history="1">
              <w:r w:rsidRPr="006E7A53">
                <w:rPr>
                  <w:rFonts w:ascii="Times New Roman" w:hAnsi="Times New Roman" w:cs="Times New Roman"/>
                  <w:color w:val="0000FF"/>
                </w:rPr>
                <w:t>гр. 2</w:t>
              </w:r>
            </w:hyperlink>
            <w:r w:rsidRPr="006E7A53">
              <w:rPr>
                <w:rFonts w:ascii="Times New Roman" w:hAnsi="Times New Roman" w:cs="Times New Roman"/>
              </w:rPr>
              <w:t xml:space="preserve"> указан код </w:t>
            </w:r>
            <w:hyperlink r:id="rId23" w:tooltip="&quot;ОК 013-2014 (СНС 2008). Общероссийский классификатор основных фондов&quot; (принят и введен в действие Приказом Росстандарта от 12.12.2014 N 2018-ст) (ред. от 08.05.2018){КонсультантПлюс}" w:history="1">
              <w:r w:rsidRPr="006E7A53">
                <w:rPr>
                  <w:rFonts w:ascii="Times New Roman" w:hAnsi="Times New Roman" w:cs="Times New Roman"/>
                  <w:color w:val="0000FF"/>
                </w:rPr>
                <w:t>ОКОФ</w:t>
              </w:r>
            </w:hyperlink>
            <w:r w:rsidRPr="006E7A53">
              <w:rPr>
                <w:rFonts w:ascii="Times New Roman" w:hAnsi="Times New Roman" w:cs="Times New Roman"/>
              </w:rPr>
              <w:t xml:space="preserve">, начинающийся с 100..., то </w:t>
            </w:r>
            <w:hyperlink w:anchor="Par2125" w:tooltip="3" w:history="1">
              <w:r w:rsidRPr="006E7A53">
                <w:rPr>
                  <w:rFonts w:ascii="Times New Roman" w:hAnsi="Times New Roman" w:cs="Times New Roman"/>
                  <w:color w:val="0000FF"/>
                </w:rPr>
                <w:t>гр. 3</w:t>
              </w:r>
            </w:hyperlink>
            <w:r w:rsidRPr="006E7A53">
              <w:rPr>
                <w:rFonts w:ascii="Times New Roman" w:hAnsi="Times New Roman" w:cs="Times New Roman"/>
              </w:rPr>
              <w:t xml:space="preserve"> = 6, или 10.</w:t>
            </w:r>
          </w:p>
          <w:p w:rsidR="006E7A53" w:rsidRPr="006E7A53" w:rsidRDefault="006E7A53" w:rsidP="00BF5621">
            <w:pPr>
              <w:pStyle w:val="ConsPlusNormal"/>
              <w:jc w:val="both"/>
              <w:rPr>
                <w:rFonts w:ascii="Times New Roman" w:hAnsi="Times New Roman" w:cs="Times New Roman"/>
              </w:rPr>
            </w:pPr>
            <w:r w:rsidRPr="006E7A53">
              <w:rPr>
                <w:rFonts w:ascii="Times New Roman" w:hAnsi="Times New Roman" w:cs="Times New Roman"/>
              </w:rPr>
              <w:t xml:space="preserve">Если в </w:t>
            </w:r>
            <w:hyperlink w:anchor="Par2124" w:tooltip="2" w:history="1">
              <w:r w:rsidRPr="006E7A53">
                <w:rPr>
                  <w:rFonts w:ascii="Times New Roman" w:hAnsi="Times New Roman" w:cs="Times New Roman"/>
                  <w:color w:val="0000FF"/>
                </w:rPr>
                <w:t>гр. 2</w:t>
              </w:r>
            </w:hyperlink>
            <w:r w:rsidRPr="006E7A53">
              <w:rPr>
                <w:rFonts w:ascii="Times New Roman" w:hAnsi="Times New Roman" w:cs="Times New Roman"/>
              </w:rPr>
              <w:t xml:space="preserve"> указан код </w:t>
            </w:r>
            <w:hyperlink r:id="rId24" w:tooltip="&quot;ОК 013-2014 (СНС 2008). Общероссийский классификатор основных фондов&quot; (принят и введен в действие Приказом Росстандарта от 12.12.2014 N 2018-ст) (ред. от 08.05.2018){КонсультантПлюс}" w:history="1">
              <w:r w:rsidRPr="006E7A53">
                <w:rPr>
                  <w:rFonts w:ascii="Times New Roman" w:hAnsi="Times New Roman" w:cs="Times New Roman"/>
                  <w:color w:val="0000FF"/>
                </w:rPr>
                <w:t>ОКОФ</w:t>
              </w:r>
            </w:hyperlink>
            <w:r w:rsidRPr="006E7A53">
              <w:rPr>
                <w:rFonts w:ascii="Times New Roman" w:hAnsi="Times New Roman" w:cs="Times New Roman"/>
              </w:rPr>
              <w:t xml:space="preserve">, начинающийся с 220..., то </w:t>
            </w:r>
            <w:hyperlink w:anchor="Par2125" w:tooltip="3" w:history="1">
              <w:r w:rsidRPr="006E7A53">
                <w:rPr>
                  <w:rFonts w:ascii="Times New Roman" w:hAnsi="Times New Roman" w:cs="Times New Roman"/>
                  <w:color w:val="0000FF"/>
                </w:rPr>
                <w:t>гр. 3</w:t>
              </w:r>
            </w:hyperlink>
            <w:r w:rsidRPr="006E7A53">
              <w:rPr>
                <w:rFonts w:ascii="Times New Roman" w:hAnsi="Times New Roman" w:cs="Times New Roman"/>
              </w:rPr>
              <w:t xml:space="preserve"> = 3, или 4, или 5, или 6, или 7, или 8, или 9, или 10.</w:t>
            </w:r>
          </w:p>
          <w:p w:rsidR="006E7A53" w:rsidRPr="006E7A53" w:rsidRDefault="006E7A53" w:rsidP="00BF5621">
            <w:pPr>
              <w:pStyle w:val="ConsPlusNormal"/>
              <w:jc w:val="both"/>
              <w:rPr>
                <w:rFonts w:ascii="Times New Roman" w:hAnsi="Times New Roman" w:cs="Times New Roman"/>
              </w:rPr>
            </w:pPr>
            <w:r w:rsidRPr="006E7A53">
              <w:rPr>
                <w:rFonts w:ascii="Times New Roman" w:hAnsi="Times New Roman" w:cs="Times New Roman"/>
              </w:rPr>
              <w:t xml:space="preserve">Если в </w:t>
            </w:r>
            <w:hyperlink w:anchor="Par2124" w:tooltip="2" w:history="1">
              <w:r w:rsidRPr="006E7A53">
                <w:rPr>
                  <w:rFonts w:ascii="Times New Roman" w:hAnsi="Times New Roman" w:cs="Times New Roman"/>
                  <w:color w:val="0000FF"/>
                </w:rPr>
                <w:t>гр. 2</w:t>
              </w:r>
            </w:hyperlink>
            <w:r w:rsidRPr="006E7A53">
              <w:rPr>
                <w:rFonts w:ascii="Times New Roman" w:hAnsi="Times New Roman" w:cs="Times New Roman"/>
              </w:rPr>
              <w:t xml:space="preserve"> указан код </w:t>
            </w:r>
            <w:hyperlink r:id="rId25" w:tooltip="&quot;ОК 013-2014 (СНС 2008). Общероссийский классификатор основных фондов&quot; (принят и введен в действие Приказом Росстандарта от 12.12.2014 N 2018-ст) (ред. от 08.05.2018){КонсультантПлюс}" w:history="1">
              <w:r w:rsidRPr="006E7A53">
                <w:rPr>
                  <w:rFonts w:ascii="Times New Roman" w:hAnsi="Times New Roman" w:cs="Times New Roman"/>
                  <w:color w:val="0000FF"/>
                </w:rPr>
                <w:t>ОКОФ</w:t>
              </w:r>
            </w:hyperlink>
            <w:r w:rsidRPr="006E7A53">
              <w:rPr>
                <w:rFonts w:ascii="Times New Roman" w:hAnsi="Times New Roman" w:cs="Times New Roman"/>
              </w:rPr>
              <w:t xml:space="preserve">, начинающийся с 320..., то </w:t>
            </w:r>
            <w:hyperlink w:anchor="Par2125" w:tooltip="3" w:history="1">
              <w:r w:rsidRPr="006E7A53">
                <w:rPr>
                  <w:rFonts w:ascii="Times New Roman" w:hAnsi="Times New Roman" w:cs="Times New Roman"/>
                  <w:color w:val="0000FF"/>
                </w:rPr>
                <w:t>гр. 3</w:t>
              </w:r>
            </w:hyperlink>
            <w:r w:rsidRPr="006E7A53">
              <w:rPr>
                <w:rFonts w:ascii="Times New Roman" w:hAnsi="Times New Roman" w:cs="Times New Roman"/>
              </w:rPr>
              <w:t xml:space="preserve"> = 1, или 3, или 4, или 5, или 6, или 7, или 8, или 10.</w:t>
            </w:r>
          </w:p>
          <w:p w:rsidR="006E7A53" w:rsidRPr="006E7A53" w:rsidRDefault="006E7A53" w:rsidP="00BF5621">
            <w:pPr>
              <w:pStyle w:val="ConsPlusNormal"/>
              <w:jc w:val="both"/>
              <w:rPr>
                <w:rFonts w:ascii="Times New Roman" w:hAnsi="Times New Roman" w:cs="Times New Roman"/>
              </w:rPr>
            </w:pPr>
            <w:r w:rsidRPr="006E7A53">
              <w:rPr>
                <w:rFonts w:ascii="Times New Roman" w:hAnsi="Times New Roman" w:cs="Times New Roman"/>
              </w:rPr>
              <w:t xml:space="preserve">Если в </w:t>
            </w:r>
            <w:hyperlink w:anchor="Par2124" w:tooltip="2" w:history="1">
              <w:r w:rsidRPr="006E7A53">
                <w:rPr>
                  <w:rFonts w:ascii="Times New Roman" w:hAnsi="Times New Roman" w:cs="Times New Roman"/>
                  <w:color w:val="0000FF"/>
                </w:rPr>
                <w:t>гр. 2</w:t>
              </w:r>
            </w:hyperlink>
            <w:r w:rsidRPr="006E7A53">
              <w:rPr>
                <w:rFonts w:ascii="Times New Roman" w:hAnsi="Times New Roman" w:cs="Times New Roman"/>
              </w:rPr>
              <w:t xml:space="preserve"> указан код </w:t>
            </w:r>
            <w:hyperlink r:id="rId26" w:tooltip="&quot;ОК 013-2014 (СНС 2008). Общероссийский классификатор основных фондов&quot; (принят и введен в действие Приказом Росстандарта от 12.12.2014 N 2018-ст) (ред. от 08.05.2018){КонсультантПлюс}" w:history="1">
              <w:r w:rsidRPr="006E7A53">
                <w:rPr>
                  <w:rFonts w:ascii="Times New Roman" w:hAnsi="Times New Roman" w:cs="Times New Roman"/>
                  <w:color w:val="0000FF"/>
                </w:rPr>
                <w:t>ОКОФ</w:t>
              </w:r>
            </w:hyperlink>
            <w:r w:rsidRPr="006E7A53">
              <w:rPr>
                <w:rFonts w:ascii="Times New Roman" w:hAnsi="Times New Roman" w:cs="Times New Roman"/>
              </w:rPr>
              <w:t xml:space="preserve">, начинающийся с 310..., то </w:t>
            </w:r>
            <w:hyperlink w:anchor="Par2125" w:tooltip="3" w:history="1">
              <w:r w:rsidRPr="006E7A53">
                <w:rPr>
                  <w:rFonts w:ascii="Times New Roman" w:hAnsi="Times New Roman" w:cs="Times New Roman"/>
                  <w:color w:val="0000FF"/>
                </w:rPr>
                <w:t>гр. 3</w:t>
              </w:r>
            </w:hyperlink>
            <w:r w:rsidRPr="006E7A53">
              <w:rPr>
                <w:rFonts w:ascii="Times New Roman" w:hAnsi="Times New Roman" w:cs="Times New Roman"/>
              </w:rPr>
              <w:t xml:space="preserve"> = 3, или 4, или 5, или 6, или 7, или 8, или 9, или 10.</w:t>
            </w:r>
          </w:p>
          <w:p w:rsidR="006E7A53" w:rsidRPr="006E7A53" w:rsidRDefault="006E7A53" w:rsidP="00BF5621">
            <w:pPr>
              <w:pStyle w:val="ConsPlusNormal"/>
              <w:jc w:val="both"/>
              <w:rPr>
                <w:rFonts w:ascii="Times New Roman" w:hAnsi="Times New Roman" w:cs="Times New Roman"/>
              </w:rPr>
            </w:pPr>
            <w:r w:rsidRPr="006E7A53">
              <w:rPr>
                <w:rFonts w:ascii="Times New Roman" w:hAnsi="Times New Roman" w:cs="Times New Roman"/>
              </w:rPr>
              <w:t xml:space="preserve">Если в </w:t>
            </w:r>
            <w:hyperlink w:anchor="Par2124" w:tooltip="2" w:history="1">
              <w:r w:rsidRPr="006E7A53">
                <w:rPr>
                  <w:rFonts w:ascii="Times New Roman" w:hAnsi="Times New Roman" w:cs="Times New Roman"/>
                  <w:color w:val="0000FF"/>
                </w:rPr>
                <w:t>гр. 2</w:t>
              </w:r>
            </w:hyperlink>
            <w:r w:rsidRPr="006E7A53">
              <w:rPr>
                <w:rFonts w:ascii="Times New Roman" w:hAnsi="Times New Roman" w:cs="Times New Roman"/>
              </w:rPr>
              <w:t xml:space="preserve"> указан код </w:t>
            </w:r>
            <w:hyperlink r:id="rId27" w:tooltip="&quot;ОК 013-2014 (СНС 2008). Общероссийский классификатор основных фондов&quot; (принят и введен в действие Приказом Росстандарта от 12.12.2014 N 2018-ст) (ред. от 08.05.2018){КонсультантПлюс}" w:history="1">
              <w:r w:rsidRPr="006E7A53">
                <w:rPr>
                  <w:rFonts w:ascii="Times New Roman" w:hAnsi="Times New Roman" w:cs="Times New Roman"/>
                  <w:color w:val="0000FF"/>
                </w:rPr>
                <w:t>ОКОФ</w:t>
              </w:r>
            </w:hyperlink>
            <w:r w:rsidRPr="006E7A53">
              <w:rPr>
                <w:rFonts w:ascii="Times New Roman" w:hAnsi="Times New Roman" w:cs="Times New Roman"/>
              </w:rPr>
              <w:t xml:space="preserve">, начинающийся с 330..., то </w:t>
            </w:r>
            <w:hyperlink w:anchor="Par2125" w:tooltip="3" w:history="1">
              <w:r w:rsidRPr="006E7A53">
                <w:rPr>
                  <w:rFonts w:ascii="Times New Roman" w:hAnsi="Times New Roman" w:cs="Times New Roman"/>
                  <w:color w:val="0000FF"/>
                </w:rPr>
                <w:t>гр. 3</w:t>
              </w:r>
            </w:hyperlink>
            <w:r w:rsidRPr="006E7A53">
              <w:rPr>
                <w:rFonts w:ascii="Times New Roman" w:hAnsi="Times New Roman" w:cs="Times New Roman"/>
              </w:rPr>
              <w:t xml:space="preserve"> = 1, или 2, или 3, или 4, или 5, или 6, или 7, или 8, или 9, или 10.</w:t>
            </w:r>
          </w:p>
        </w:tc>
      </w:tr>
    </w:tbl>
    <w:p w:rsidR="006E7A53" w:rsidRDefault="006E7A53" w:rsidP="006E7A53">
      <w:pPr>
        <w:pStyle w:val="ConsPlusNormal"/>
        <w:jc w:val="both"/>
      </w:pPr>
    </w:p>
    <w:sectPr w:rsidR="006E7A53" w:rsidSect="00076DED">
      <w:footerReference w:type="default" r:id="rId28"/>
      <w:pgSz w:w="11906" w:h="16838"/>
      <w:pgMar w:top="1134" w:right="1134"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63F" w:rsidRDefault="00C8563F" w:rsidP="00D35411">
      <w:pPr>
        <w:spacing w:after="0" w:line="240" w:lineRule="auto"/>
      </w:pPr>
      <w:r>
        <w:separator/>
      </w:r>
    </w:p>
  </w:endnote>
  <w:endnote w:type="continuationSeparator" w:id="1">
    <w:p w:rsidR="00C8563F" w:rsidRDefault="00C8563F" w:rsidP="00D35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67610"/>
      <w:docPartObj>
        <w:docPartGallery w:val="Page Numbers (Bottom of Page)"/>
        <w:docPartUnique/>
      </w:docPartObj>
    </w:sdtPr>
    <w:sdtEndPr>
      <w:rPr>
        <w:rFonts w:ascii="Times New Roman" w:hAnsi="Times New Roman" w:cs="Times New Roman"/>
        <w:sz w:val="24"/>
        <w:szCs w:val="24"/>
      </w:rPr>
    </w:sdtEndPr>
    <w:sdtContent>
      <w:p w:rsidR="00D35411" w:rsidRPr="00D35411" w:rsidRDefault="00D35411" w:rsidP="00D35411">
        <w:pPr>
          <w:pStyle w:val="a7"/>
          <w:jc w:val="center"/>
          <w:rPr>
            <w:rFonts w:ascii="Times New Roman" w:hAnsi="Times New Roman" w:cs="Times New Roman"/>
            <w:sz w:val="24"/>
            <w:szCs w:val="24"/>
          </w:rPr>
        </w:pPr>
        <w:r w:rsidRPr="00D35411">
          <w:rPr>
            <w:rFonts w:ascii="Times New Roman" w:hAnsi="Times New Roman" w:cs="Times New Roman"/>
            <w:sz w:val="24"/>
            <w:szCs w:val="24"/>
          </w:rPr>
          <w:fldChar w:fldCharType="begin"/>
        </w:r>
        <w:r w:rsidRPr="00D35411">
          <w:rPr>
            <w:rFonts w:ascii="Times New Roman" w:hAnsi="Times New Roman" w:cs="Times New Roman"/>
            <w:sz w:val="24"/>
            <w:szCs w:val="24"/>
          </w:rPr>
          <w:instrText xml:space="preserve"> PAGE   \* MERGEFORMAT </w:instrText>
        </w:r>
        <w:r w:rsidRPr="00D35411">
          <w:rPr>
            <w:rFonts w:ascii="Times New Roman" w:hAnsi="Times New Roman" w:cs="Times New Roman"/>
            <w:sz w:val="24"/>
            <w:szCs w:val="24"/>
          </w:rPr>
          <w:fldChar w:fldCharType="separate"/>
        </w:r>
        <w:r>
          <w:rPr>
            <w:rFonts w:ascii="Times New Roman" w:hAnsi="Times New Roman" w:cs="Times New Roman"/>
            <w:noProof/>
            <w:sz w:val="24"/>
            <w:szCs w:val="24"/>
          </w:rPr>
          <w:t>4</w:t>
        </w:r>
        <w:r w:rsidRPr="00D35411">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63F" w:rsidRDefault="00C8563F" w:rsidP="00D35411">
      <w:pPr>
        <w:spacing w:after="0" w:line="240" w:lineRule="auto"/>
      </w:pPr>
      <w:r>
        <w:separator/>
      </w:r>
    </w:p>
  </w:footnote>
  <w:footnote w:type="continuationSeparator" w:id="1">
    <w:p w:rsidR="00C8563F" w:rsidRDefault="00C8563F" w:rsidP="00D354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6E7A53"/>
    <w:rsid w:val="00022798"/>
    <w:rsid w:val="00076DED"/>
    <w:rsid w:val="003C25C0"/>
    <w:rsid w:val="006E7A53"/>
    <w:rsid w:val="00744C68"/>
    <w:rsid w:val="00785F49"/>
    <w:rsid w:val="009624BF"/>
    <w:rsid w:val="00B32FAE"/>
    <w:rsid w:val="00C8563F"/>
    <w:rsid w:val="00D35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A53"/>
    <w:pPr>
      <w:spacing w:after="200" w:line="276" w:lineRule="auto"/>
      <w:ind w:firstLine="0"/>
      <w:jc w:val="left"/>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7A53"/>
    <w:pPr>
      <w:widowControl w:val="0"/>
      <w:autoSpaceDE w:val="0"/>
      <w:autoSpaceDN w:val="0"/>
      <w:adjustRightInd w:val="0"/>
      <w:ind w:firstLine="0"/>
      <w:jc w:val="left"/>
    </w:pPr>
    <w:rPr>
      <w:rFonts w:ascii="Arial" w:eastAsiaTheme="minorEastAsia" w:hAnsi="Arial" w:cs="Arial"/>
      <w:sz w:val="20"/>
      <w:szCs w:val="20"/>
      <w:lang w:eastAsia="ru-RU"/>
    </w:rPr>
  </w:style>
  <w:style w:type="paragraph" w:styleId="a3">
    <w:name w:val="Balloon Text"/>
    <w:basedOn w:val="a"/>
    <w:link w:val="a4"/>
    <w:uiPriority w:val="99"/>
    <w:semiHidden/>
    <w:unhideWhenUsed/>
    <w:rsid w:val="006E7A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7A53"/>
    <w:rPr>
      <w:rFonts w:ascii="Tahoma" w:eastAsiaTheme="minorEastAsia" w:hAnsi="Tahoma" w:cs="Tahoma"/>
      <w:sz w:val="16"/>
      <w:szCs w:val="16"/>
      <w:lang w:eastAsia="ru-RU"/>
    </w:rPr>
  </w:style>
  <w:style w:type="paragraph" w:styleId="a5">
    <w:name w:val="header"/>
    <w:basedOn w:val="a"/>
    <w:link w:val="a6"/>
    <w:uiPriority w:val="99"/>
    <w:semiHidden/>
    <w:unhideWhenUsed/>
    <w:rsid w:val="00D3541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35411"/>
    <w:rPr>
      <w:rFonts w:asciiTheme="minorHAnsi" w:eastAsiaTheme="minorEastAsia" w:hAnsiTheme="minorHAnsi" w:cstheme="minorBidi"/>
      <w:sz w:val="22"/>
      <w:szCs w:val="22"/>
      <w:lang w:eastAsia="ru-RU"/>
    </w:rPr>
  </w:style>
  <w:style w:type="paragraph" w:styleId="a7">
    <w:name w:val="footer"/>
    <w:basedOn w:val="a"/>
    <w:link w:val="a8"/>
    <w:uiPriority w:val="99"/>
    <w:unhideWhenUsed/>
    <w:rsid w:val="00D354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35411"/>
    <w:rPr>
      <w:rFonts w:asciiTheme="minorHAnsi" w:eastAsiaTheme="minorEastAsia" w:hAnsiTheme="minorHAnsi" w:cstheme="minorBid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D06769ED412D6EE9F83DBDBF06738B81D2E0BE8120C4288207EA8A4E8FC2E2F0865D4E05CF105B25E7E9C23829BC11A5FE22F8D77FD43Bf8G2M" TargetMode="External"/><Relationship Id="rId13" Type="http://schemas.openxmlformats.org/officeDocument/2006/relationships/hyperlink" Target="consultantplus://offline/ref=67D06769ED412D6EE9F83DBDBF06738B81D2E2B98421C4288207EA8A4E8FC2E2E286054204C60B5E20F2BF937Df7G5M" TargetMode="External"/><Relationship Id="rId18" Type="http://schemas.openxmlformats.org/officeDocument/2006/relationships/hyperlink" Target="consultantplus://offline/ref=67D06769ED412D6EE9F83DBDBF06738B86D3E1BF802D99228A5EE68849809DF5F7CF514F05CC115A2FB8ECD72971B018B3E026E2CB7DD5f3G3M" TargetMode="External"/><Relationship Id="rId26" Type="http://schemas.openxmlformats.org/officeDocument/2006/relationships/hyperlink" Target="consultantplus://offline/ref=67D06769ED412D6EE9F83DBDBF06738B81D2E2B98421C4288207EA8A4E8FC2E2E286054204C60B5E20F2BF937Df7G5M" TargetMode="External"/><Relationship Id="rId3" Type="http://schemas.openxmlformats.org/officeDocument/2006/relationships/webSettings" Target="webSettings.xml"/><Relationship Id="rId21" Type="http://schemas.openxmlformats.org/officeDocument/2006/relationships/image" Target="media/image3.wmf"/><Relationship Id="rId7" Type="http://schemas.openxmlformats.org/officeDocument/2006/relationships/hyperlink" Target="consultantplus://offline/ref=67D06769ED412D6EE9F83DBDBF06738B81D3E4BC8620C4288207EA8A4E8FC2E2F0865D4D04CB1E0A75A8E89E7D74AF10A9FE20FCC8f7G4M" TargetMode="External"/><Relationship Id="rId12" Type="http://schemas.openxmlformats.org/officeDocument/2006/relationships/hyperlink" Target="consultantplus://offline/ref=67D06769ED412D6EE9F83DBDBF06738B81D2E2B98421C4288207EA8A4E8FC2E2E286054204C60B5E20F2BF937Df7G5M" TargetMode="External"/><Relationship Id="rId17" Type="http://schemas.openxmlformats.org/officeDocument/2006/relationships/hyperlink" Target="consultantplus://offline/ref=67D06769ED412D6EE9F83DBDBF06738B86D3E1BF802D99228A5EE68849809DF5F7CF514F05CC115A2FB8ECD72971B018B3E026E2CB7DD5f3G3M" TargetMode="External"/><Relationship Id="rId25" Type="http://schemas.openxmlformats.org/officeDocument/2006/relationships/hyperlink" Target="consultantplus://offline/ref=67D06769ED412D6EE9F83DBDBF06738B81D2E2B98421C4288207EA8A4E8FC2E2E286054204C60B5E20F2BF937Df7G5M" TargetMode="External"/><Relationship Id="rId2" Type="http://schemas.openxmlformats.org/officeDocument/2006/relationships/settings" Target="settings.xml"/><Relationship Id="rId16" Type="http://schemas.openxmlformats.org/officeDocument/2006/relationships/hyperlink" Target="consultantplus://offline/ref=67D06769ED412D6EE9F83DBDBF06738B80DBE6BD8A2EC4288207EA8A4E8FC2E2E286054204C60B5E20F2BF937Df7G5M" TargetMode="Externa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7D06769ED412D6EE9F83DBDBF06738B86D3E1BF802D99228A5EE68849809DF5F7CF514F05CC115E2FB8ECD72971B018B3E026E2CB7DD5f3G3M" TargetMode="External"/><Relationship Id="rId11" Type="http://schemas.openxmlformats.org/officeDocument/2006/relationships/hyperlink" Target="consultantplus://offline/ref=67D06769ED412D6EE9F83DBDBF06738B81D2E2B98421C4288207EA8A4E8FC2E2F0865D4E05CE155F27E7E9C23829BC11A5FE22F8D77FD43Bf8G2M" TargetMode="External"/><Relationship Id="rId24" Type="http://schemas.openxmlformats.org/officeDocument/2006/relationships/hyperlink" Target="consultantplus://offline/ref=67D06769ED412D6EE9F83DBDBF06738B81D2E2B98421C4288207EA8A4E8FC2E2E286054204C60B5E20F2BF937Df7G5M" TargetMode="External"/><Relationship Id="rId5" Type="http://schemas.openxmlformats.org/officeDocument/2006/relationships/endnotes" Target="endnotes.xml"/><Relationship Id="rId15" Type="http://schemas.openxmlformats.org/officeDocument/2006/relationships/hyperlink" Target="consultantplus://offline/ref=67D06769ED412D6EE9F83DBDBF06738B81D2E2B98421C4288207EA8A4E8FC2E2E286054204C60B5E20F2BF937Df7G5M" TargetMode="External"/><Relationship Id="rId23" Type="http://schemas.openxmlformats.org/officeDocument/2006/relationships/hyperlink" Target="consultantplus://offline/ref=67D06769ED412D6EE9F83DBDBF06738B81D2E2B98421C4288207EA8A4E8FC2E2E286054204C60B5E20F2BF937Df7G5M" TargetMode="External"/><Relationship Id="rId28" Type="http://schemas.openxmlformats.org/officeDocument/2006/relationships/footer" Target="footer1.xml"/><Relationship Id="rId10" Type="http://schemas.openxmlformats.org/officeDocument/2006/relationships/hyperlink" Target="consultantplus://offline/ref=67D06769ED412D6EE9F83DBDBF06738B81D2E2B98421C4288207EA8A4E8FC2E2E286054204C60B5E20F2BF937Df7G5M" TargetMode="External"/><Relationship Id="rId19" Type="http://schemas.openxmlformats.org/officeDocument/2006/relationships/image" Target="media/image1.wmf"/><Relationship Id="rId4" Type="http://schemas.openxmlformats.org/officeDocument/2006/relationships/footnotes" Target="footnotes.xml"/><Relationship Id="rId9" Type="http://schemas.openxmlformats.org/officeDocument/2006/relationships/hyperlink" Target="consultantplus://offline/ref=67D06769ED412D6EE9F83DBDBF06738B81D2E2B98421C4288207EA8A4E8FC2E2E286054204C60B5E20F2BF937Df7G5M" TargetMode="External"/><Relationship Id="rId14" Type="http://schemas.openxmlformats.org/officeDocument/2006/relationships/hyperlink" Target="consultantplus://offline/ref=67D06769ED412D6EE9F83DBDBF06738B81D2E2B98421C4288207EA8A4E8FC2E2E286054204C60B5E20F2BF937Df7G5M" TargetMode="External"/><Relationship Id="rId22" Type="http://schemas.openxmlformats.org/officeDocument/2006/relationships/hyperlink" Target="consultantplus://offline/ref=67D06769ED412D6EE9F83DBDBF06738B81D2E2B98421C4288207EA8A4E8FC2E2E286054204C60B5E20F2BF937Df7G5M" TargetMode="External"/><Relationship Id="rId27" Type="http://schemas.openxmlformats.org/officeDocument/2006/relationships/hyperlink" Target="consultantplus://offline/ref=67D06769ED412D6EE9F83DBDBF06738B81D2E2B98421C4288207EA8A4E8FC2E2E286054204C60B5E20F2BF937Df7G5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2824</Words>
  <Characters>16099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p34_BolotovaVM</dc:creator>
  <cp:keywords/>
  <dc:description/>
  <cp:lastModifiedBy>p34_BolotovaVM</cp:lastModifiedBy>
  <cp:revision>2</cp:revision>
  <cp:lastPrinted>2019-04-18T12:49:00Z</cp:lastPrinted>
  <dcterms:created xsi:type="dcterms:W3CDTF">2019-04-18T12:34:00Z</dcterms:created>
  <dcterms:modified xsi:type="dcterms:W3CDTF">2019-04-18T12:55:00Z</dcterms:modified>
</cp:coreProperties>
</file>